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30"/>
        <w:ind w:left="-114" w:right="113" w:firstLine="114"/>
        <w:jc w:val="right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Приложение №1 к Документации о закупке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</w:p>
    <w:p>
      <w:pPr>
        <w:pStyle w:val="1030"/>
        <w:ind w:left="-114" w:right="-505" w:firstLine="114"/>
        <w:jc w:val="right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</w:p>
    <w:p>
      <w:pPr>
        <w:pStyle w:val="1030"/>
        <w:ind w:left="-114" w:right="-505" w:firstLine="114"/>
        <w:jc w:val="right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</w:p>
    <w:p>
      <w:pPr>
        <w:jc w:val="right"/>
        <w:keepLines/>
        <w:keepNext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bCs/>
          <w:color w:val="000000" w:themeColor="text1"/>
          <w:sz w:val="26"/>
          <w:szCs w:val="26"/>
        </w:rPr>
      </w:pPr>
      <w:r>
        <w:rPr>
          <w:rFonts w:eastAsia="Calibri"/>
          <w:b/>
          <w:color w:val="000000" w:themeColor="text1"/>
          <w:sz w:val="26"/>
          <w:szCs w:val="26"/>
          <w:highlight w:val="none"/>
        </w:rPr>
      </w:r>
      <w:r>
        <w:rPr>
          <w:rFonts w:eastAsia="Calibri"/>
          <w:b/>
          <w:bCs/>
          <w:color w:val="000000" w:themeColor="text1"/>
          <w:sz w:val="26"/>
          <w:szCs w:val="26"/>
        </w:rPr>
      </w:r>
      <w:r>
        <w:rPr>
          <w:rFonts w:eastAsia="Calibri"/>
          <w:b/>
          <w:bCs/>
          <w:color w:val="000000" w:themeColor="text1"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/>
          <w:color w:val="000000" w:themeColor="text1"/>
          <w:sz w:val="26"/>
          <w:szCs w:val="26"/>
          <w:highlight w:val="none"/>
        </w:rPr>
      </w:pPr>
      <w:r>
        <w:rPr>
          <w:rFonts w:eastAsia="Calibri"/>
          <w:b/>
          <w:color w:val="000000" w:themeColor="text1"/>
          <w:sz w:val="26"/>
          <w:szCs w:val="26"/>
          <w:highlight w:val="none"/>
        </w:rPr>
      </w:r>
      <w:r>
        <w:rPr>
          <w:rFonts w:eastAsia="Calibri"/>
          <w:b/>
          <w:bCs/>
          <w:color w:val="000000" w:themeColor="text1"/>
          <w:sz w:val="26"/>
          <w:szCs w:val="26"/>
          <w:highlight w:val="none"/>
        </w:rPr>
      </w:r>
      <w:r>
        <w:rPr>
          <w:rFonts w:eastAsia="Calibri"/>
          <w:b/>
          <w:bCs/>
          <w:color w:val="000000" w:themeColor="text1"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color w:val="000000" w:themeColor="text1"/>
          <w:sz w:val="26"/>
          <w:szCs w:val="26"/>
          <w:highlight w:val="none"/>
        </w:rPr>
      </w:pPr>
      <w:r>
        <w:rPr>
          <w:rFonts w:eastAsia="Calibri"/>
          <w:b/>
          <w:color w:val="000000" w:themeColor="text1"/>
          <w:sz w:val="26"/>
          <w:szCs w:val="26"/>
        </w:rPr>
        <w:t xml:space="preserve">Технические требования на поставку </w:t>
      </w:r>
      <w:r>
        <w:rPr>
          <w:rFonts w:eastAsia="Calibri"/>
          <w:b/>
          <w:bCs/>
          <w:color w:val="000000" w:themeColor="text1"/>
          <w:sz w:val="26"/>
          <w:szCs w:val="26"/>
          <w:highlight w:val="none"/>
        </w:rPr>
      </w:r>
      <w:r>
        <w:rPr>
          <w:rFonts w:eastAsia="Calibri"/>
          <w:b/>
          <w:bCs/>
          <w:color w:val="000000" w:themeColor="text1"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color w:val="000000" w:themeColor="text1"/>
          <w:sz w:val="26"/>
          <w:szCs w:val="26"/>
        </w:rPr>
      </w:pPr>
      <w:r>
        <w:rPr>
          <w:rFonts w:eastAsia="Calibri"/>
          <w:b/>
          <w:color w:val="000000" w:themeColor="text1"/>
          <w:sz w:val="26"/>
          <w:szCs w:val="26"/>
        </w:rPr>
      </w:r>
      <w:r>
        <w:rPr>
          <w:rFonts w:eastAsia="Calibri"/>
          <w:b/>
          <w:color w:val="000000" w:themeColor="text1"/>
          <w:sz w:val="26"/>
          <w:szCs w:val="26"/>
        </w:rPr>
      </w:r>
      <w:r>
        <w:rPr>
          <w:rFonts w:eastAsia="Calibri"/>
          <w:b/>
          <w:color w:val="000000" w:themeColor="text1"/>
          <w:sz w:val="26"/>
          <w:szCs w:val="26"/>
        </w:rPr>
      </w:r>
    </w:p>
    <w:p>
      <w:pPr>
        <w:jc w:val="center"/>
        <w:keepLines/>
        <w:keepNext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ОКПД2 26.30.30 Поставка оборудования, комплектующих и расходных материалов средств диспетчерского и технологического управления </w:t>
      </w:r>
      <w:r>
        <w:rPr>
          <w:color w:val="000000" w:themeColor="text1"/>
          <w:sz w:val="26"/>
          <w:szCs w:val="26"/>
        </w:rPr>
        <w:t xml:space="preserve">для АО «ДГК» в Хабаровском крае, Приморском крае, Амурской области, </w:t>
      </w:r>
      <w:r>
        <w:rPr>
          <w:color w:val="000000" w:themeColor="text1"/>
          <w:sz w:val="26"/>
          <w:szCs w:val="26"/>
        </w:rPr>
        <w:t xml:space="preserve">Респ</w:t>
      </w:r>
      <w:r>
        <w:rPr>
          <w:color w:val="000000" w:themeColor="text1"/>
          <w:sz w:val="26"/>
          <w:szCs w:val="26"/>
        </w:rPr>
        <w:t xml:space="preserve">. Саха (Якутия), ЕАО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pPr>
      <w:r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r>
      <w:r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r>
      <w:r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r>
    </w:p>
    <w:p>
      <w:pPr>
        <w:jc w:val="center"/>
        <w:keepLines/>
        <w:keepNext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Лот № 23207000-ТПИР ОНМ ИТ-2026-Д</w:t>
      </w:r>
      <w:r>
        <w:rPr>
          <w:color w:val="000000" w:themeColor="text1"/>
          <w:sz w:val="26"/>
          <w:szCs w:val="26"/>
        </w:rPr>
        <w:t xml:space="preserve">ГК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jc w:val="center"/>
        <w:spacing w:before="120" w:after="120"/>
        <w:widowControl w:val="off"/>
        <w:rPr>
          <w:rStyle w:val="943"/>
          <w:b w:val="0"/>
          <w:color w:val="000000" w:themeColor="text1"/>
          <w:sz w:val="26"/>
          <w:szCs w:val="26"/>
        </w:rPr>
      </w:pPr>
      <w:r>
        <w:rPr>
          <w:b w:val="0"/>
          <w:color w:val="000000" w:themeColor="text1"/>
          <w:sz w:val="26"/>
          <w:szCs w:val="26"/>
        </w:rPr>
      </w:r>
      <w:r>
        <w:rPr>
          <w:rStyle w:val="943"/>
          <w:b w:val="0"/>
          <w:color w:val="000000" w:themeColor="text1"/>
          <w:sz w:val="26"/>
          <w:szCs w:val="26"/>
        </w:rPr>
      </w:r>
      <w:r>
        <w:rPr>
          <w:rStyle w:val="943"/>
          <w:b w:val="0"/>
          <w:color w:val="000000" w:themeColor="text1"/>
          <w:sz w:val="26"/>
          <w:szCs w:val="26"/>
        </w:rPr>
      </w:r>
    </w:p>
    <w:p>
      <w:pPr>
        <w:jc w:val="both"/>
        <w:keepLines/>
        <w:keepNext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  <w:sz w:val="24"/>
          <w:szCs w:val="24"/>
        </w:rPr>
      </w:pPr>
      <w:r>
        <w:rPr>
          <w:color w:val="000000" w:themeColor="text1"/>
        </w:rPr>
        <w:br w:type="page" w:clear="all"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СОДЕРЖАНИЕ</w:t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tbl>
      <w:tblPr>
        <w:tblW w:w="110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10492"/>
      </w:tblGrid>
      <w:tr>
        <w:tblPrEx/>
        <w:trPr/>
        <w:tc>
          <w:tcPr>
            <w:gridSpan w:val="2"/>
            <w:tcW w:w="1105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049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370"/>
        </w:trPr>
        <w:tc>
          <w:tcPr>
            <w:tcW w:w="563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1.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10492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Общие сведения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1.1. 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10492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Наименование закупаемой продукции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1.2.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10492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Цель использования закупаемой продукции 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1.3.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10492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Существующее положение 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44"/>
        </w:trPr>
        <w:tc>
          <w:tcPr>
            <w:tcW w:w="563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2.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10492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Требования к продукции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tcW w:w="563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2.1.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10492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Требования к объемам и срокам поставки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W w:w="11055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2.1.1. Перечень и объем закупаемой продукции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W w:w="11055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2.1.2.     Требования к срокам поставки продукции 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W w:w="11055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Таблица 1.1 Требования по срокам поставки продукции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W w:w="11055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Таблица 1.2 Требования по срокам оказания сопутствующих услуг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W w:w="11055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Таблица 3. Дополнительные требования к продукции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gridSpan w:val="2"/>
            <w:tcW w:w="11055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3. 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Требования к документации по ценообразованию на этапе закупки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11055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4. 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Требования к документации по ценообразованию на этапе заключения (исполнен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ия) договора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W w:w="11055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5. 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Приложения 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757"/>
        <w:ind w:left="0" w:firstLine="0"/>
        <w:tabs>
          <w:tab w:val="clear" w:pos="0" w:leader="none"/>
        </w:tabs>
        <w:rPr>
          <w:b w:val="0"/>
          <w:i/>
          <w:color w:val="000000" w:themeColor="text1"/>
        </w:rPr>
      </w:pPr>
      <w:r>
        <w:rPr>
          <w:color w:val="000000" w:themeColor="text1"/>
        </w:rPr>
        <w:br w:type="page" w:clear="all"/>
      </w:r>
      <w:r>
        <w:rPr>
          <w:b w:val="0"/>
          <w:i/>
          <w:color w:val="000000" w:themeColor="text1"/>
        </w:rPr>
      </w:r>
      <w:r>
        <w:rPr>
          <w:b w:val="0"/>
          <w:i/>
          <w:color w:val="000000" w:themeColor="text1"/>
        </w:rPr>
      </w:r>
    </w:p>
    <w:p>
      <w:pPr>
        <w:pStyle w:val="756"/>
        <w:ind w:left="357" w:hanging="357"/>
        <w:jc w:val="center"/>
        <w:keepLines/>
        <w:rPr>
          <w:caps/>
          <w:color w:val="000000" w:themeColor="text1"/>
          <w:sz w:val="24"/>
          <w:szCs w:val="24"/>
        </w:rPr>
      </w:pPr>
      <w:r>
        <w:rPr>
          <w:color w:val="000000" w:themeColor="text1"/>
        </w:rPr>
      </w:r>
      <w:bookmarkStart w:id="0" w:name="_Toc51339692"/>
      <w:r>
        <w:rPr>
          <w:color w:val="000000" w:themeColor="text1"/>
        </w:rPr>
      </w:r>
      <w:bookmarkStart w:id="1" w:name="_Toc161133572"/>
      <w:r>
        <w:rPr>
          <w:color w:val="000000" w:themeColor="text1"/>
          <w:sz w:val="24"/>
          <w:szCs w:val="24"/>
        </w:rPr>
        <w:t xml:space="preserve">Общие сведения</w:t>
      </w:r>
      <w:bookmarkEnd w:id="0"/>
      <w:r>
        <w:rPr>
          <w:color w:val="000000" w:themeColor="text1"/>
        </w:rPr>
      </w:r>
      <w:bookmarkEnd w:id="1"/>
      <w:r>
        <w:rPr>
          <w:caps/>
          <w:color w:val="000000" w:themeColor="text1"/>
          <w:sz w:val="24"/>
          <w:szCs w:val="24"/>
        </w:rPr>
      </w:r>
      <w:r>
        <w:rPr>
          <w:caps/>
          <w:color w:val="000000" w:themeColor="text1"/>
          <w:sz w:val="24"/>
          <w:szCs w:val="24"/>
        </w:rPr>
      </w:r>
    </w:p>
    <w:p>
      <w:pPr>
        <w:pStyle w:val="759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</w:r>
      <w:bookmarkStart w:id="2" w:name="_Toc161133574"/>
      <w:r>
        <w:rPr>
          <w:color w:val="000000" w:themeColor="text1"/>
        </w:rPr>
        <w:t xml:space="preserve">Наименование закупаемой продукции</w:t>
      </w:r>
      <w:bookmarkEnd w:id="2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both"/>
        <w:rPr>
          <w:rStyle w:val="943"/>
          <w:b w:val="0"/>
          <w:i w:val="0"/>
          <w:color w:val="000000" w:themeColor="text1"/>
          <w:sz w:val="24"/>
          <w:szCs w:val="24"/>
        </w:rPr>
      </w:pPr>
      <w:r>
        <w:rPr>
          <w:rFonts w:eastAsia="Calibri"/>
          <w:color w:val="000000" w:themeColor="text1"/>
          <w:sz w:val="24"/>
          <w:szCs w:val="24"/>
        </w:rPr>
        <w:t xml:space="preserve">ОКПД2 26.30.30 Поставка оборудования, комплектующих и расходных материалов средств диспетчерского и технологического управления для                   АО «ДГК» в Хабаровском крае, Приморском крае, Амурской области, </w:t>
      </w:r>
      <w:r>
        <w:rPr>
          <w:rFonts w:eastAsia="Calibri"/>
          <w:color w:val="000000" w:themeColor="text1"/>
          <w:sz w:val="24"/>
          <w:szCs w:val="24"/>
        </w:rPr>
        <w:t xml:space="preserve">Респ</w:t>
      </w:r>
      <w:r>
        <w:rPr>
          <w:rFonts w:eastAsia="Calibri"/>
          <w:color w:val="000000" w:themeColor="text1"/>
          <w:sz w:val="24"/>
          <w:szCs w:val="24"/>
        </w:rPr>
        <w:t xml:space="preserve">. Саха (Якутия), ЕАО</w:t>
      </w:r>
      <w:r>
        <w:rPr>
          <w:rStyle w:val="943"/>
          <w:b w:val="0"/>
          <w:i w:val="0"/>
          <w:color w:val="000000" w:themeColor="text1"/>
          <w:sz w:val="24"/>
          <w:szCs w:val="24"/>
        </w:rPr>
      </w:r>
      <w:r>
        <w:rPr>
          <w:rStyle w:val="943"/>
          <w:b w:val="0"/>
          <w:i w:val="0"/>
          <w:color w:val="000000" w:themeColor="text1"/>
          <w:sz w:val="24"/>
          <w:szCs w:val="24"/>
        </w:rPr>
      </w:r>
    </w:p>
    <w:p>
      <w:pPr>
        <w:pStyle w:val="759"/>
        <w:numPr>
          <w:ilvl w:val="1"/>
          <w:numId w:val="3"/>
        </w:numPr>
        <w:ind w:left="431" w:hanging="431"/>
        <w:spacing w:before="240"/>
        <w:rPr>
          <w:color w:val="000000" w:themeColor="text1"/>
        </w:rPr>
      </w:pPr>
      <w:r>
        <w:rPr>
          <w:color w:val="000000" w:themeColor="text1"/>
        </w:rPr>
      </w:r>
      <w:bookmarkStart w:id="3" w:name="_Toc46743507"/>
      <w:r>
        <w:rPr>
          <w:color w:val="000000" w:themeColor="text1"/>
        </w:rPr>
      </w:r>
      <w:bookmarkStart w:id="4" w:name="_Toc161133575"/>
      <w:r>
        <w:rPr>
          <w:color w:val="000000" w:themeColor="text1"/>
        </w:rPr>
        <w:t xml:space="preserve">Цель </w:t>
      </w:r>
      <w:bookmarkEnd w:id="3"/>
      <w:r>
        <w:rPr>
          <w:color w:val="000000" w:themeColor="text1"/>
        </w:rPr>
        <w:t xml:space="preserve">использования закупаемой проду</w:t>
      </w:r>
      <w:r>
        <w:rPr>
          <w:color w:val="000000" w:themeColor="text1"/>
        </w:rPr>
        <w:t xml:space="preserve">кции</w:t>
      </w:r>
      <w:bookmarkEnd w:id="4"/>
      <w:r>
        <w:rPr>
          <w:color w:val="000000" w:themeColor="text1"/>
        </w:rPr>
        <w:t xml:space="preserve">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i w:val="0"/>
          <w:iCs w:val="0"/>
          <w:color w:val="000000" w:themeColor="text1"/>
        </w:rPr>
      </w:pPr>
      <w:r>
        <w:rPr>
          <w:rFonts w:eastAsia="Calibri"/>
          <w:i w:val="0"/>
          <w:iCs w:val="0"/>
          <w:color w:val="000000" w:themeColor="text1"/>
          <w:sz w:val="24"/>
          <w:szCs w:val="24"/>
        </w:rPr>
        <w:t xml:space="preserve">Обеспечение функционирования оборудования, комплектующих и расходных материалов средств диспетчерского и технологического управления</w:t>
      </w:r>
      <w:r>
        <w:rPr>
          <w:i w:val="0"/>
          <w:iCs w:val="0"/>
          <w:color w:val="000000" w:themeColor="text1"/>
        </w:rPr>
      </w:r>
      <w:r>
        <w:rPr>
          <w:i w:val="0"/>
          <w:iCs w:val="0"/>
          <w:color w:val="000000" w:themeColor="text1"/>
        </w:rPr>
      </w:r>
    </w:p>
    <w:p>
      <w:pPr>
        <w:pStyle w:val="759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</w:r>
      <w:bookmarkStart w:id="5" w:name="_Toc46743508"/>
      <w:r>
        <w:rPr>
          <w:color w:val="000000" w:themeColor="text1"/>
        </w:rPr>
      </w:r>
      <w:bookmarkStart w:id="6" w:name="_Toc161133576"/>
      <w:r>
        <w:rPr>
          <w:color w:val="000000" w:themeColor="text1"/>
        </w:rPr>
        <w:t xml:space="preserve">Существующее положение</w:t>
      </w:r>
      <w:bookmarkEnd w:id="5"/>
      <w:r>
        <w:rPr>
          <w:color w:val="000000" w:themeColor="text1"/>
        </w:rPr>
      </w:r>
      <w:bookmarkEnd w:id="6"/>
      <w:r>
        <w:rPr>
          <w:color w:val="000000" w:themeColor="text1"/>
        </w:rPr>
        <w:t xml:space="preserve">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both"/>
        <w:spacing w:before="120" w:after="240"/>
        <w:shd w:val="clear" w:color="ffffff" w:themeColor="background1" w:fill="ffffff" w:themeFill="background1"/>
        <w:widowControl w:val="off"/>
        <w:tabs>
          <w:tab w:val="left" w:pos="426" w:leader="none"/>
        </w:tabs>
        <w:rPr>
          <w:rFonts w:eastAsia="Calibri"/>
          <w:bCs/>
          <w:i w:val="0"/>
          <w:iCs w:val="0"/>
          <w:color w:val="000000" w:themeColor="text1"/>
          <w:sz w:val="24"/>
          <w:szCs w:val="24"/>
        </w:rPr>
      </w:pPr>
      <w:r>
        <w:rPr>
          <w:rFonts w:eastAsia="Calibri"/>
          <w:i w:val="0"/>
          <w:iCs w:val="0"/>
          <w:color w:val="000000" w:themeColor="text1"/>
          <w:sz w:val="24"/>
          <w:szCs w:val="24"/>
          <w:highlight w:val="white"/>
        </w:rPr>
        <w:t xml:space="preserve">Отсутствует</w:t>
      </w:r>
      <w:r>
        <w:rPr>
          <w:rFonts w:eastAsia="Calibri"/>
          <w:bCs/>
          <w:i w:val="0"/>
          <w:iCs w:val="0"/>
          <w:color w:val="000000" w:themeColor="text1"/>
          <w:sz w:val="24"/>
          <w:szCs w:val="24"/>
        </w:rPr>
      </w:r>
      <w:r>
        <w:rPr>
          <w:rFonts w:eastAsia="Calibri"/>
          <w:bCs/>
          <w:i w:val="0"/>
          <w:iCs w:val="0"/>
          <w:color w:val="000000" w:themeColor="text1"/>
          <w:sz w:val="24"/>
          <w:szCs w:val="24"/>
        </w:rPr>
      </w:r>
    </w:p>
    <w:p>
      <w:pPr>
        <w:pStyle w:val="756"/>
        <w:ind w:left="357" w:hanging="357"/>
        <w:jc w:val="center"/>
        <w:keepLines/>
        <w:rPr>
          <w:iCs/>
          <w:caps/>
          <w:color w:val="000000" w:themeColor="text1"/>
          <w:sz w:val="24"/>
          <w:szCs w:val="24"/>
        </w:rPr>
      </w:pPr>
      <w:r>
        <w:rPr>
          <w:color w:val="000000" w:themeColor="text1"/>
        </w:rPr>
      </w:r>
      <w:bookmarkStart w:id="7" w:name="_Toc50125126"/>
      <w:r>
        <w:rPr>
          <w:color w:val="000000" w:themeColor="text1"/>
        </w:rPr>
      </w:r>
      <w:bookmarkStart w:id="8" w:name="_Toc51339693"/>
      <w:r>
        <w:rPr>
          <w:color w:val="000000" w:themeColor="text1"/>
        </w:rPr>
      </w:r>
      <w:bookmarkStart w:id="9" w:name="_Toc161133577"/>
      <w:r>
        <w:rPr>
          <w:color w:val="000000" w:themeColor="text1"/>
        </w:rPr>
      </w:r>
      <w:bookmarkEnd w:id="7"/>
      <w:r>
        <w:rPr>
          <w:iCs/>
          <w:color w:val="000000" w:themeColor="text1"/>
          <w:sz w:val="24"/>
          <w:szCs w:val="24"/>
        </w:rPr>
        <w:t xml:space="preserve">Требования к продукции</w:t>
      </w:r>
      <w:bookmarkEnd w:id="8"/>
      <w:r>
        <w:rPr>
          <w:color w:val="000000" w:themeColor="text1"/>
        </w:rPr>
      </w:r>
      <w:bookmarkEnd w:id="9"/>
      <w:r>
        <w:rPr>
          <w:iCs/>
          <w:caps/>
          <w:color w:val="000000" w:themeColor="text1"/>
          <w:sz w:val="24"/>
          <w:szCs w:val="24"/>
        </w:rPr>
      </w:r>
      <w:r>
        <w:rPr>
          <w:iCs/>
          <w:caps/>
          <w:color w:val="000000" w:themeColor="text1"/>
          <w:sz w:val="24"/>
          <w:szCs w:val="24"/>
        </w:rPr>
      </w:r>
    </w:p>
    <w:p>
      <w:pPr>
        <w:pStyle w:val="759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</w:r>
      <w:bookmarkStart w:id="10" w:name="_Toc161133578"/>
      <w:r>
        <w:rPr>
          <w:color w:val="000000" w:themeColor="text1"/>
        </w:rPr>
        <w:t xml:space="preserve">Требования к объемам и срокам </w:t>
      </w:r>
      <w:r>
        <w:rPr>
          <w:color w:val="000000" w:themeColor="text1"/>
        </w:rPr>
        <w:t xml:space="preserve">поставки</w:t>
      </w:r>
      <w:bookmarkEnd w:id="10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58"/>
        <w:ind w:left="0" w:firstLine="0"/>
        <w:rPr>
          <w:color w:val="000000" w:themeColor="text1"/>
        </w:rPr>
      </w:pPr>
      <w:r>
        <w:rPr>
          <w:color w:val="000000" w:themeColor="text1"/>
        </w:rPr>
      </w:r>
      <w:bookmarkStart w:id="11" w:name="_Toc161133579"/>
      <w:r>
        <w:rPr>
          <w:color w:val="000000" w:themeColor="text1"/>
        </w:rPr>
        <w:t xml:space="preserve">Перечень и объем за</w:t>
      </w:r>
      <w:r>
        <w:rPr>
          <w:color w:val="000000" w:themeColor="text1"/>
        </w:rPr>
        <w:t xml:space="preserve">купаемой продукции</w:t>
      </w:r>
      <w:bookmarkEnd w:id="11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Fonts w:eastAsia="Calibri"/>
          <w:color w:val="000000" w:themeColor="text1"/>
          <w:sz w:val="24"/>
          <w:szCs w:val="24"/>
        </w:rPr>
      </w:pPr>
      <w:r>
        <w:rPr>
          <w:rFonts w:eastAsia="Calibri"/>
          <w:color w:val="000000" w:themeColor="text1"/>
          <w:sz w:val="24"/>
          <w:szCs w:val="24"/>
        </w:rPr>
        <w:t xml:space="preserve">Перечень</w:t>
      </w:r>
      <w:r>
        <w:rPr>
          <w:color w:val="000000" w:themeColor="text1"/>
          <w:sz w:val="24"/>
          <w:szCs w:val="24"/>
        </w:rPr>
        <w:t xml:space="preserve"> </w:t>
      </w:r>
      <w:r>
        <w:rPr>
          <w:rFonts w:eastAsia="Calibri"/>
          <w:color w:val="000000" w:themeColor="text1"/>
          <w:sz w:val="24"/>
          <w:szCs w:val="24"/>
        </w:rPr>
        <w:t xml:space="preserve">необходимой</w:t>
      </w:r>
      <w:r>
        <w:rPr>
          <w:color w:val="000000" w:themeColor="text1"/>
          <w:sz w:val="24"/>
          <w:szCs w:val="24"/>
        </w:rPr>
        <w:t xml:space="preserve"> </w:t>
      </w:r>
      <w:r>
        <w:rPr>
          <w:rFonts w:eastAsia="Calibri"/>
          <w:color w:val="000000" w:themeColor="text1"/>
          <w:sz w:val="24"/>
          <w:szCs w:val="24"/>
        </w:rPr>
        <w:t xml:space="preserve">к поставке продукции, функциональные характеристики (потребительские свойства), количественные, качественные характеристики продукции и место поставки приведены </w:t>
      </w:r>
      <w:r>
        <w:rPr>
          <w:rFonts w:eastAsia="Calibri"/>
          <w:color w:val="000000" w:themeColor="text1"/>
          <w:sz w:val="24"/>
          <w:szCs w:val="24"/>
        </w:rPr>
        <w:t xml:space="preserve">в  Приложении</w:t>
      </w:r>
      <w:r>
        <w:rPr>
          <w:rFonts w:eastAsia="Calibri"/>
          <w:color w:val="000000" w:themeColor="text1"/>
          <w:sz w:val="24"/>
          <w:szCs w:val="24"/>
        </w:rPr>
        <w:t xml:space="preserve"> №1  к настоящим Техническим требованиям. </w:t>
      </w:r>
      <w:r>
        <w:rPr>
          <w:rFonts w:eastAsia="Calibri"/>
          <w:color w:val="000000" w:themeColor="text1"/>
          <w:sz w:val="24"/>
          <w:szCs w:val="24"/>
        </w:rPr>
      </w:r>
      <w:r>
        <w:rPr>
          <w:rFonts w:eastAsia="Calibri"/>
          <w:color w:val="000000" w:themeColor="text1"/>
          <w:sz w:val="24"/>
          <w:szCs w:val="24"/>
        </w:rPr>
      </w:r>
    </w:p>
    <w:p>
      <w:pPr>
        <w:pStyle w:val="758"/>
        <w:ind w:left="0" w:firstLine="0"/>
        <w:rPr>
          <w:color w:val="000000" w:themeColor="text1"/>
        </w:rPr>
      </w:pPr>
      <w:r>
        <w:rPr>
          <w:color w:val="000000" w:themeColor="text1"/>
        </w:rPr>
      </w:r>
      <w:bookmarkStart w:id="12" w:name="_Toc51339696"/>
      <w:r>
        <w:rPr>
          <w:color w:val="000000" w:themeColor="text1"/>
        </w:rPr>
      </w:r>
      <w:bookmarkStart w:id="13" w:name="_Toc161133584"/>
      <w:r>
        <w:rPr>
          <w:color w:val="000000" w:themeColor="text1"/>
        </w:rPr>
        <w:t xml:space="preserve">Требования </w:t>
      </w:r>
      <w:bookmarkEnd w:id="12"/>
      <w:r>
        <w:rPr>
          <w:color w:val="000000" w:themeColor="text1"/>
        </w:rPr>
        <w:t xml:space="preserve">к срокам поставки продукции и оказания сопутствующих услуг</w:t>
      </w:r>
      <w:bookmarkEnd w:id="13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spacing w:before="60" w:after="60"/>
        <w:rPr>
          <w:color w:val="000000" w:themeColor="text1"/>
          <w:sz w:val="24"/>
          <w:szCs w:val="24"/>
        </w:rPr>
      </w:pPr>
      <w:r>
        <w:rPr>
          <w:color w:val="000000" w:themeColor="text1"/>
        </w:rPr>
      </w:r>
      <w:bookmarkStart w:id="14" w:name="_Toc50125126_Копия_1"/>
      <w:r>
        <w:rPr>
          <w:color w:val="000000" w:themeColor="text1"/>
        </w:rPr>
      </w:r>
      <w:bookmarkStart w:id="15" w:name="_Toc50125127"/>
      <w:r>
        <w:rPr>
          <w:color w:val="000000" w:themeColor="text1"/>
        </w:rPr>
      </w:r>
      <w:bookmarkStart w:id="16" w:name="_Toc51339697"/>
      <w:r>
        <w:rPr>
          <w:color w:val="000000" w:themeColor="text1"/>
        </w:rPr>
      </w:r>
      <w:bookmarkStart w:id="17" w:name="_Toc161133585"/>
      <w:r>
        <w:rPr>
          <w:color w:val="000000" w:themeColor="text1"/>
        </w:rPr>
      </w:r>
      <w:bookmarkEnd w:id="14"/>
      <w:r>
        <w:rPr>
          <w:color w:val="000000" w:themeColor="text1"/>
          <w:sz w:val="24"/>
          <w:szCs w:val="24"/>
        </w:rPr>
        <w:t xml:space="preserve">Таблица 1.</w:t>
      </w:r>
      <w:r>
        <w:rPr>
          <w:color w:val="000000" w:themeColor="text1"/>
          <w:sz w:val="24"/>
          <w:szCs w:val="24"/>
        </w:rPr>
        <w:t xml:space="preserve">1</w:t>
      </w:r>
      <w:r>
        <w:rPr>
          <w:color w:val="000000" w:themeColor="text1"/>
          <w:sz w:val="24"/>
          <w:szCs w:val="24"/>
        </w:rPr>
        <w:t xml:space="preserve"> </w:t>
      </w:r>
      <w:bookmarkStart w:id="18" w:name="_Hlk50465284"/>
      <w:r>
        <w:rPr>
          <w:color w:val="000000" w:themeColor="text1"/>
          <w:sz w:val="24"/>
          <w:szCs w:val="24"/>
        </w:rPr>
        <w:t xml:space="preserve">Требования по срокам </w:t>
      </w:r>
      <w:bookmarkEnd w:id="15"/>
      <w:r>
        <w:rPr>
          <w:color w:val="000000" w:themeColor="text1"/>
        </w:rPr>
      </w:r>
      <w:bookmarkEnd w:id="16"/>
      <w:r>
        <w:rPr>
          <w:color w:val="000000" w:themeColor="text1"/>
        </w:rPr>
      </w:r>
      <w:bookmarkEnd w:id="18"/>
      <w:r>
        <w:rPr>
          <w:color w:val="000000" w:themeColor="text1"/>
          <w:sz w:val="24"/>
          <w:szCs w:val="24"/>
        </w:rPr>
        <w:t xml:space="preserve">поставки продукции</w:t>
      </w:r>
      <w:bookmarkEnd w:id="17"/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tbl>
      <w:tblPr>
        <w:tblW w:w="15330" w:type="dxa"/>
        <w:tblLayout w:type="fixed"/>
        <w:tblLook w:val="04A0" w:firstRow="1" w:lastRow="0" w:firstColumn="1" w:lastColumn="0" w:noHBand="0" w:noVBand="1"/>
      </w:tblPr>
      <w:tblGrid>
        <w:gridCol w:w="844"/>
        <w:gridCol w:w="6223"/>
        <w:gridCol w:w="3194"/>
        <w:gridCol w:w="5069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23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/>
              <w:widowControl w:val="off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Наименование продукции / партии продукции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94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6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Требования к окончанию срока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/>
              <w:widowControl w:val="off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поставки продукции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1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2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94" w:type="dxa"/>
            <w:vAlign w:val="center"/>
            <w:textDirection w:val="lrTb"/>
            <w:noWrap w:val="false"/>
          </w:tcPr>
          <w:p>
            <w:pPr>
              <w:pStyle w:val="1011"/>
              <w:jc w:val="center"/>
              <w:keepNext w:val="0"/>
              <w:spacing w:before="0" w:beforeAutospacing="0" w:after="0" w:afterAutospacing="0"/>
              <w:widowControl w:val="off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69" w:type="dxa"/>
            <w:vAlign w:val="center"/>
            <w:textDirection w:val="lrTb"/>
            <w:noWrap w:val="false"/>
          </w:tcPr>
          <w:p>
            <w:pPr>
              <w:pStyle w:val="1011"/>
              <w:jc w:val="center"/>
              <w:keepNext w:val="0"/>
              <w:spacing w:before="0" w:beforeAutospacing="0" w:after="0" w:afterAutospacing="0"/>
              <w:widowControl w:val="off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5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23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ОКПД2 26.30.30 Поставка оборудования, комплектующих и расходных материалов средств диспетчерского и технологического управления для АО «ДГК» в Хабаровском крае, Приморском крае, Амурской области, </w:t>
            </w:r>
            <w:r>
              <w:rPr>
                <w:color w:val="000000" w:themeColor="text1"/>
                <w:sz w:val="24"/>
                <w:szCs w:val="24"/>
              </w:rPr>
              <w:t xml:space="preserve">Респ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Саха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Якутия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), ЕАО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94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 даты получения заявки Поставщиком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6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Общий срок поставки Товара составляет 100 календарных дней с даты заключения договора. Срок поставки Товара (партии Товара) по заявке составляет 60 календарных дней с даты получения заявки Поставщиком.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</w:tr>
    </w:tbl>
    <w:p>
      <w:pPr>
        <w:pStyle w:val="756"/>
        <w:numPr>
          <w:ilvl w:val="0"/>
          <w:numId w:val="0"/>
        </w:numPr>
        <w:spacing w:before="0" w:beforeAutospacing="0" w:after="0" w:afterAutospacing="0"/>
        <w:rPr>
          <w:color w:val="000000" w:themeColor="text1"/>
          <w:sz w:val="18"/>
          <w:szCs w:val="18"/>
          <w:highlight w:val="none"/>
        </w:rPr>
      </w:pPr>
      <w:r>
        <w:rPr>
          <w:color w:val="000000" w:themeColor="text1"/>
          <w:sz w:val="18"/>
          <w:szCs w:val="18"/>
          <w:highlight w:val="none"/>
        </w:rPr>
      </w:r>
      <w:r>
        <w:rPr>
          <w:color w:val="000000" w:themeColor="text1"/>
          <w:sz w:val="18"/>
          <w:szCs w:val="18"/>
          <w:highlight w:val="none"/>
        </w:rPr>
      </w:r>
      <w:r>
        <w:rPr>
          <w:color w:val="000000" w:themeColor="text1"/>
          <w:sz w:val="18"/>
          <w:szCs w:val="18"/>
          <w:highlight w:val="none"/>
        </w:rPr>
      </w:r>
    </w:p>
    <w:p>
      <w:pPr>
        <w:pStyle w:val="756"/>
        <w:numPr>
          <w:ilvl w:val="0"/>
          <w:numId w:val="0"/>
        </w:num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</w:rPr>
      </w:r>
      <w:bookmarkStart w:id="19" w:name="_Toc161133586"/>
      <w:r>
        <w:rPr>
          <w:color w:val="000000" w:themeColor="text1"/>
          <w:sz w:val="24"/>
          <w:szCs w:val="24"/>
        </w:rPr>
        <w:t xml:space="preserve">Таблица 1.</w:t>
      </w:r>
      <w:r>
        <w:rPr>
          <w:color w:val="000000" w:themeColor="text1"/>
          <w:sz w:val="24"/>
          <w:szCs w:val="24"/>
        </w:rPr>
        <w:t xml:space="preserve">2</w:t>
      </w:r>
      <w:r>
        <w:rPr>
          <w:color w:val="000000" w:themeColor="text1"/>
          <w:sz w:val="24"/>
          <w:szCs w:val="24"/>
        </w:rPr>
        <w:t xml:space="preserve"> Требования по срокам </w:t>
      </w:r>
      <w:r>
        <w:rPr>
          <w:color w:val="000000" w:themeColor="text1"/>
          <w:sz w:val="24"/>
          <w:szCs w:val="24"/>
        </w:rPr>
        <w:t xml:space="preserve">оказания </w:t>
      </w:r>
      <w:r>
        <w:rPr>
          <w:color w:val="000000" w:themeColor="text1"/>
          <w:sz w:val="24"/>
          <w:szCs w:val="24"/>
        </w:rPr>
        <w:t xml:space="preserve">сопутствующих услуг</w:t>
      </w:r>
      <w:bookmarkEnd w:id="19"/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tbl>
      <w:tblPr>
        <w:tblW w:w="1531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355"/>
        <w:gridCol w:w="3327"/>
        <w:gridCol w:w="3543"/>
        <w:gridCol w:w="4110"/>
        <w:gridCol w:w="2976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/>
                <w:bCs/>
                <w:i w:val="0"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000000" w:themeColor="text1"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i w:val="0"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i w:val="0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27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/>
                <w:bCs/>
                <w:i w:val="0"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000000" w:themeColor="text1"/>
                <w:sz w:val="24"/>
                <w:szCs w:val="24"/>
              </w:rPr>
              <w:t xml:space="preserve">Наименование услуг</w:t>
            </w:r>
            <w:r>
              <w:rPr>
                <w:b/>
                <w:bCs/>
                <w:i w:val="0"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i w:val="0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pStyle w:val="1011"/>
              <w:jc w:val="center"/>
              <w:keepNext w:val="0"/>
              <w:spacing w:before="0" w:beforeAutospacing="0" w:after="0" w:afterAutospacing="0" w:line="240" w:lineRule="auto"/>
              <w:widowControl w:val="off"/>
              <w:rPr>
                <w:b/>
                <w:bCs/>
                <w:i w:val="0"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000000" w:themeColor="text1"/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b/>
                <w:bCs/>
                <w:i w:val="0"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i w:val="0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pStyle w:val="1011"/>
              <w:jc w:val="center"/>
              <w:keepNext w:val="0"/>
              <w:spacing w:before="0" w:beforeAutospacing="0" w:after="0" w:afterAutospacing="0" w:line="240" w:lineRule="auto"/>
              <w:widowControl w:val="off"/>
              <w:rPr>
                <w:b/>
                <w:bCs/>
                <w:i w:val="0"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000000" w:themeColor="text1"/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b/>
                <w:bCs/>
                <w:i w:val="0"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i w:val="0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center"/>
            <w:textDirection w:val="lrTb"/>
            <w:noWrap w:val="false"/>
          </w:tcPr>
          <w:p>
            <w:pPr>
              <w:pStyle w:val="1011"/>
              <w:jc w:val="center"/>
              <w:keepNext w:val="0"/>
              <w:spacing w:before="0" w:beforeAutospacing="0" w:after="0" w:afterAutospacing="0" w:line="240" w:lineRule="auto"/>
              <w:widowControl w:val="off"/>
              <w:rPr>
                <w:b/>
                <w:bCs/>
                <w:i w:val="0"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000000" w:themeColor="text1"/>
                <w:sz w:val="24"/>
                <w:szCs w:val="24"/>
              </w:rPr>
              <w:t xml:space="preserve">Примечание</w:t>
            </w:r>
            <w:r>
              <w:rPr>
                <w:b/>
                <w:bCs/>
                <w:i w:val="0"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i w:val="0"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 w:val="0"/>
                <w:iCs w:val="0"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b/>
                <w:bCs/>
                <w:i w:val="0"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i w:val="0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27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 w:val="0"/>
                <w:iCs w:val="0"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b/>
                <w:bCs/>
                <w:i w:val="0"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i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pStyle w:val="1011"/>
              <w:jc w:val="center"/>
              <w:keepNext w:val="0"/>
              <w:spacing w:before="0" w:beforeAutospacing="0" w:after="0" w:afterAutospacing="0" w:line="240" w:lineRule="auto"/>
              <w:widowControl w:val="off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 w:val="0"/>
                <w:iCs w:val="0"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b/>
                <w:bCs/>
                <w:i w:val="0"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i w:val="0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pStyle w:val="1011"/>
              <w:jc w:val="center"/>
              <w:keepNext w:val="0"/>
              <w:spacing w:before="0" w:beforeAutospacing="0" w:after="0" w:afterAutospacing="0" w:line="240" w:lineRule="auto"/>
              <w:widowControl w:val="off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 w:val="0"/>
                <w:iCs w:val="0"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b/>
                <w:bCs/>
                <w:i w:val="0"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i w:val="0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center"/>
            <w:textDirection w:val="lrTb"/>
            <w:noWrap w:val="false"/>
          </w:tcPr>
          <w:p>
            <w:pPr>
              <w:pStyle w:val="1011"/>
              <w:jc w:val="center"/>
              <w:keepNext w:val="0"/>
              <w:spacing w:before="0" w:beforeAutospacing="0" w:after="0" w:afterAutospacing="0" w:line="240" w:lineRule="auto"/>
              <w:widowControl w:val="off"/>
              <w:rPr>
                <w:b/>
                <w:bCs/>
                <w:i w:val="0"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 w:val="0"/>
                <w:iCs w:val="0"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b/>
                <w:bCs/>
                <w:i w:val="0"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i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7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Cs w:val="0"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1.</w:t>
            </w:r>
            <w:r>
              <w:rPr>
                <w:bCs w:val="0"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Cs w:val="0"/>
                <w:i w:val="0"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7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Не требуется</w:t>
            </w:r>
            <w:r>
              <w:rPr>
                <w:bCs w:val="0"/>
                <w:i w:val="0"/>
                <w:color w:val="000000" w:themeColor="text1"/>
                <w:sz w:val="24"/>
                <w:szCs w:val="24"/>
              </w:rPr>
            </w:r>
            <w:r>
              <w:rPr>
                <w:bCs w:val="0"/>
                <w:i w:val="0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756"/>
        <w:numPr>
          <w:ilvl w:val="0"/>
          <w:numId w:val="0"/>
        </w:numPr>
        <w:ind w:left="142" w:right="-86"/>
        <w:jc w:val="both"/>
        <w:widowControl w:val="off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>
        <w:rPr>
          <w:rFonts w:eastAsia="Times New Roman" w:cs="Times New Roman"/>
          <w:color w:val="000000" w:themeColor="text1"/>
          <w:sz w:val="24"/>
          <w:szCs w:val="24"/>
        </w:rPr>
        <w:t xml:space="preserve">Таблица 3. Дополнительные требования к продукции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tbl>
      <w:tblPr>
        <w:tblW w:w="15449" w:type="dxa"/>
        <w:tblInd w:w="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3798"/>
        <w:gridCol w:w="3961"/>
        <w:gridCol w:w="1881"/>
        <w:gridCol w:w="3343"/>
        <w:gridCol w:w="1809"/>
      </w:tblGrid>
      <w:tr>
        <w:tblPrEx/>
        <w:trPr>
          <w:trHeight w:val="505"/>
        </w:trPr>
        <w:tc>
          <w:tcPr>
            <w:tcW w:w="65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№ п/п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tcW w:w="379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Наименование параметра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tcW w:w="39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Требование заказчика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gridSpan w:val="2"/>
            <w:tcW w:w="5224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tcW w:w="18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1168"/>
        </w:trPr>
        <w:tc>
          <w:tcPr>
            <w:tcW w:w="657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3798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3961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W w:w="188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tcW w:w="334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tcW w:w="1809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</w:tr>
      <w:tr>
        <w:tblPrEx/>
        <w:trPr>
          <w:trHeight w:val="304"/>
        </w:trPr>
        <w:tc>
          <w:tcPr>
            <w:tcW w:w="657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1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tcW w:w="3798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2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tcW w:w="396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3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tcW w:w="188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4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tcW w:w="334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5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6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W w:w="657" w:type="dxa"/>
            <w:vAlign w:val="center"/>
            <w:textDirection w:val="lrTb"/>
            <w:noWrap w:val="false"/>
          </w:tcPr>
          <w:p>
            <w:pPr>
              <w:pStyle w:val="996"/>
              <w:numPr>
                <w:ilvl w:val="0"/>
                <w:numId w:val="6"/>
              </w:num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gridSpan w:val="2"/>
            <w:tcW w:w="7759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widowControl w:val="off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Требования к безопасности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tcW w:w="1881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34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1976"/>
        </w:trPr>
        <w:tc>
          <w:tcPr>
            <w:tcW w:w="657" w:type="dxa"/>
            <w:vAlign w:val="center"/>
            <w:textDirection w:val="lrTb"/>
            <w:noWrap w:val="false"/>
          </w:tcPr>
          <w:p>
            <w:pPr>
              <w:pStyle w:val="996"/>
              <w:ind w:left="0"/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1.1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798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Требования безо</w:t>
            </w:r>
            <w:r>
              <w:rPr>
                <w:color w:val="000000" w:themeColor="text1"/>
                <w:sz w:val="22"/>
                <w:szCs w:val="22"/>
              </w:rPr>
              <w:t xml:space="preserve">пасности, характеризующие конструктивно-технические особенности оборудования, обеспечивающие безопасность персонала, местного населения, сопрягаемых и других близко расположенных объектов, а также окружающей среды при эксплуатации и утилизации оборудования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961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Все поставляемое оборудование должно отвечать требованием Технического регламента таможенного союза ТР ТС 004/2011 «О безопасности низковольтного оборудования» от 16.08.2011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88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Cs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Согласие с требованием</w:t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</w:p>
        </w:tc>
        <w:tc>
          <w:tcPr>
            <w:tcW w:w="334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«-»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441"/>
        </w:trPr>
        <w:tc>
          <w:tcPr>
            <w:tcW w:w="657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2.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gridSpan w:val="2"/>
            <w:tcW w:w="7759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widowControl w:val="off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Прочие (дополнительные) требования к продукции: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tcW w:w="1881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34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1745"/>
        </w:trPr>
        <w:tc>
          <w:tcPr>
            <w:tcW w:w="657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2.1.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798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Требования к порядку поставки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961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color w:val="ff000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color w:val="000000" w:themeColor="text1"/>
                <w:sz w:val="22"/>
                <w:szCs w:val="22"/>
                <w:u w:val="none"/>
              </w:rPr>
              <w:t xml:space="preserve">Поставка Товара осуществляется Поставщиком по заявкам в отношении каждого структурного подразделения Покупателя.</w:t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highlight w:val="white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highlight w:val="yellow"/>
              </w:rPr>
            </w:r>
            <w:r>
              <w:rPr>
                <w:color w:val="000000" w:themeColor="text1"/>
                <w:sz w:val="22"/>
                <w:szCs w:val="22"/>
                <w:highlight w:val="yellow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  <w:t xml:space="preserve">Все поставляемое оборудование должно быть новым, не бывшим в употреблении, соответствовать требованиям технического задания и выпускаться серийно.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88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Согласие с требованием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34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«-»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816"/>
        </w:trPr>
        <w:tc>
          <w:tcPr>
            <w:tcW w:w="657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2.2.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798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Требования к году изготовления оборудования</w:t>
            </w:r>
            <w:r>
              <w:rPr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color w:val="000000" w:themeColor="text1"/>
                <w:sz w:val="22"/>
                <w:szCs w:val="22"/>
                <w:highlight w:val="none"/>
              </w:rPr>
            </w:r>
          </w:p>
          <w:p>
            <w:pPr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color w:val="000000" w:themeColor="text1"/>
                <w:sz w:val="22"/>
                <w:szCs w:val="22"/>
                <w:highlight w:val="none"/>
              </w:rPr>
            </w:r>
          </w:p>
        </w:tc>
        <w:tc>
          <w:tcPr>
            <w:tcW w:w="3961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Год изготовления – не ранее 20</w:t>
            </w:r>
            <w:r>
              <w:rPr>
                <w:color w:val="000000" w:themeColor="text1"/>
                <w:sz w:val="22"/>
                <w:szCs w:val="22"/>
              </w:rPr>
              <w:t xml:space="preserve">25 г.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88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Согласие с требованием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34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«-»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5659"/>
        </w:trPr>
        <w:tc>
          <w:tcPr>
            <w:tcW w:w="657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2.3.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798" w:type="dxa"/>
            <w:vAlign w:val="center"/>
            <w:textDirection w:val="lrTb"/>
            <w:noWrap w:val="false"/>
          </w:tcPr>
          <w:p>
            <w:pPr>
              <w:ind w:right="57"/>
              <w:jc w:val="both"/>
              <w:keepLines/>
              <w:keepNext/>
              <w:spacing w:before="0" w:beforeAutospacing="0" w:after="0" w:afterAutospacing="0" w:line="240" w:lineRule="auto"/>
              <w:widowControl w:val="off"/>
              <w:suppressLineNumbers w:val="0"/>
            </w:pPr>
            <w:r>
              <w:rPr>
                <w:rFonts w:eastAsia="Times New Roman" w:cs="Times New Roman"/>
                <w:b/>
                <w:bCs/>
                <w:i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По позициям 1-4 </w:t>
            </w:r>
            <w:r>
              <w:rPr>
                <w:b w:val="0"/>
                <w:bCs w:val="0"/>
                <w:color w:val="000000" w:themeColor="text1"/>
                <w:sz w:val="22"/>
                <w:szCs w:val="22"/>
              </w:rPr>
              <w:t xml:space="preserve">(</w:t>
            </w:r>
            <w:r>
              <w:rPr>
                <w:b w:val="0"/>
                <w:bCs w:val="0"/>
                <w:color w:val="000000" w:themeColor="text1"/>
                <w:sz w:val="22"/>
                <w:szCs w:val="22"/>
              </w:rPr>
              <w:t xml:space="preserve">для инвестиционных средств)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и позициям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1-388,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393-436,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440-541,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544,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549-553,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576-586,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594-601,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607-641, 644-647, 655-658,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670-687,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692-925,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927-969,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975-984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color w:val="000000" w:themeColor="text1"/>
                <w:sz w:val="22"/>
                <w:szCs w:val="22"/>
              </w:rPr>
              <w:t xml:space="preserve">(</w:t>
            </w:r>
            <w:r>
              <w:rPr>
                <w:b w:val="0"/>
                <w:bCs w:val="0"/>
                <w:color w:val="000000" w:themeColor="text1"/>
                <w:sz w:val="22"/>
                <w:szCs w:val="22"/>
              </w:rPr>
              <w:t xml:space="preserve">для эксплуатационных средств) </w:t>
            </w:r>
            <w:r>
              <w:rPr>
                <w:rFonts w:eastAsia="Times New Roman" w:cs="Times New Roman"/>
                <w:b w:val="0"/>
                <w:bCs w:val="0"/>
                <w:iCs/>
                <w:color w:val="000000" w:themeColor="text1"/>
                <w:sz w:val="22"/>
                <w:szCs w:val="22"/>
              </w:rPr>
              <w:t xml:space="preserve">Приложения №1</w:t>
            </w:r>
            <w:r>
              <w:rPr>
                <w:rFonts w:eastAsia="Times New Roman" w:cs="Times New Roman"/>
                <w:b w:val="0"/>
                <w:bCs w:val="0"/>
                <w:iCs/>
                <w:color w:val="000000" w:themeColor="text1"/>
                <w:sz w:val="22"/>
                <w:szCs w:val="22"/>
              </w:rPr>
              <w:t xml:space="preserve"> к</w:t>
            </w:r>
            <w:r>
              <w:rPr>
                <w:rFonts w:eastAsia="Times New Roman" w:cs="Times New Roman"/>
                <w:iCs/>
                <w:color w:val="000000" w:themeColor="text1"/>
                <w:sz w:val="22"/>
                <w:szCs w:val="22"/>
              </w:rPr>
              <w:t xml:space="preserve"> настоящим Техническим требованиям </w:t>
            </w:r>
            <w:r>
              <w:rPr>
                <w:rStyle w:val="1035"/>
                <w:rFonts w:eastAsia="Noto Serif CJK SC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:lang w:eastAsia="ru-RU"/>
              </w:rPr>
              <w:t xml:space="preserve">установлено ограничение </w:t>
            </w:r>
            <w:r>
              <w:rPr>
                <w:rFonts w:eastAsia="Times New Roman"/>
                <w:b/>
                <w:bCs/>
                <w:color w:val="000000" w:themeColor="text1"/>
                <w:sz w:val="22"/>
                <w:szCs w:val="22"/>
              </w:rPr>
              <w:t xml:space="preserve">закупок товаров, происходящих из иностранных государств 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(в соответствии с </w:t>
            </w:r>
            <w:r>
              <w:rPr>
                <w:color w:val="000000" w:themeColor="text1"/>
                <w:sz w:val="22"/>
                <w:szCs w:val="22"/>
              </w:rPr>
              <w:t xml:space="preserve">ПП РФ № 1875 от </w:t>
            </w:r>
            <w:r>
              <w:rPr>
                <w:color w:val="000000" w:themeColor="text1"/>
                <w:sz w:val="22"/>
                <w:szCs w:val="22"/>
              </w:rPr>
              <w:t xml:space="preserve">23.12.2024).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/>
          </w:p>
          <w:p>
            <w:pPr>
              <w:pStyle w:val="1029"/>
              <w:ind w:right="57" w:firstLine="0"/>
              <w:jc w:val="both"/>
              <w:keepLines/>
              <w:keepNext/>
              <w:spacing w:before="0" w:beforeAutospacing="0" w:after="0" w:afterAutospacing="0" w:line="240" w:lineRule="auto"/>
              <w:widowControl w:val="off"/>
              <w:rPr>
                <w:rFonts w:eastAsia="Times New Roman"/>
                <w:color w:val="000000" w:themeColor="text1"/>
                <w:sz w:val="22"/>
                <w:szCs w:val="22"/>
              </w:rPr>
              <w:suppressLineNumbers w:val="0"/>
            </w:pPr>
            <w:r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При осуществлении закупки то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вара,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если Правительством РФ установлено </w:t>
            </w:r>
            <w:hyperlink r:id="rId13" w:tooltip="https://login.consultant.ru/link/?req=doc&amp;base=LAW&amp;n=494318&amp;dst=100007" w:history="1">
              <w:r>
                <w:rPr>
                  <w:rFonts w:eastAsia="Times New Roman"/>
                  <w:color w:val="000000" w:themeColor="text1"/>
                  <w:sz w:val="22"/>
                  <w:szCs w:val="22"/>
                  <w:lang w:eastAsia="ru-RU"/>
                </w:rPr>
                <w:t xml:space="preserve">ограничение</w:t>
              </w:r>
            </w:hyperlink>
            <w:r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закупок товаров, происходящих из иностранных государств, не допускаются: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</w:r>
          </w:p>
          <w:p>
            <w:pPr>
              <w:pStyle w:val="1036"/>
              <w:ind w:right="57"/>
              <w:jc w:val="both"/>
              <w:spacing w:before="0" w:beforeAutospacing="0" w:after="0" w:afterAutospacing="0" w:line="240" w:lineRule="auto"/>
              <w:widowControl w:val="off"/>
              <w:tabs>
                <w:tab w:val="left" w:pos="407" w:leader="none"/>
              </w:tabs>
              <w:rPr>
                <w:color w:val="000000" w:themeColor="text1"/>
                <w:sz w:val="22"/>
                <w:szCs w:val="22"/>
              </w:rPr>
              <w:suppressLineNumbers w:val="0"/>
            </w:pPr>
            <w:r>
              <w:rPr>
                <w:rStyle w:val="1037"/>
                <w:color w:val="000000" w:themeColor="text1"/>
                <w:sz w:val="22"/>
                <w:szCs w:val="22"/>
              </w:rPr>
              <w:t xml:space="preserve">а)</w:t>
            </w:r>
            <w:r>
              <w:rPr>
                <w:rStyle w:val="1037"/>
                <w:color w:val="000000" w:themeColor="text1"/>
                <w:sz w:val="22"/>
                <w:szCs w:val="22"/>
              </w:rPr>
              <w:tab/>
              <w:t xml:space="preserve">заключение договора на поставку товара, происходящего из иностранного государства, </w:t>
            </w:r>
            <w:r>
              <w:rPr>
                <w:rStyle w:val="1037"/>
                <w:color w:val="000000" w:themeColor="text1"/>
                <w:sz w:val="22"/>
                <w:szCs w:val="22"/>
              </w:rPr>
              <w:t xml:space="preserve">если поданы заявка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</w:t>
            </w:r>
            <w:r>
              <w:rPr>
                <w:rStyle w:val="1037"/>
                <w:color w:val="000000" w:themeColor="text1"/>
                <w:sz w:val="22"/>
                <w:szCs w:val="22"/>
              </w:rPr>
              <w:t xml:space="preserve">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pStyle w:val="1036"/>
              <w:ind w:right="57"/>
              <w:jc w:val="both"/>
              <w:spacing w:before="0" w:beforeAutospacing="0" w:after="0" w:afterAutospacing="0" w:line="240" w:lineRule="auto"/>
              <w:widowControl w:val="off"/>
              <w:tabs>
                <w:tab w:val="left" w:pos="360" w:leader="none"/>
              </w:tabs>
              <w:rPr>
                <w:color w:val="000000" w:themeColor="text1"/>
                <w:sz w:val="22"/>
                <w:szCs w:val="22"/>
              </w:rPr>
              <w:suppressLineNumbers w:val="0"/>
            </w:pPr>
            <w:r>
              <w:rPr>
                <w:rStyle w:val="1037"/>
                <w:color w:val="000000" w:themeColor="text1"/>
                <w:sz w:val="22"/>
                <w:szCs w:val="22"/>
              </w:rPr>
              <w:t xml:space="preserve">б)</w:t>
            </w:r>
            <w:r>
              <w:rPr>
                <w:rStyle w:val="1037"/>
                <w:color w:val="000000" w:themeColor="text1"/>
                <w:sz w:val="22"/>
                <w:szCs w:val="22"/>
              </w:rPr>
              <w:tab/>
            </w:r>
            <w:r>
              <w:rPr>
                <w:rStyle w:val="1037"/>
                <w:color w:val="000000" w:themeColor="text1"/>
                <w:sz w:val="22"/>
                <w:szCs w:val="22"/>
              </w:rPr>
              <w:t xml:space="preserve">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происхождения, по перечню согласно Приложению №</w:t>
            </w:r>
            <w:r>
              <w:rPr>
                <w:rStyle w:val="1037"/>
                <w:color w:val="000000" w:themeColor="text1"/>
                <w:sz w:val="22"/>
                <w:szCs w:val="22"/>
              </w:rPr>
              <w:t xml:space="preserve">2 ПП РФ №</w:t>
            </w:r>
            <w:r>
              <w:rPr>
                <w:rStyle w:val="1037"/>
                <w:color w:val="000000" w:themeColor="text1"/>
                <w:sz w:val="22"/>
                <w:szCs w:val="22"/>
              </w:rPr>
              <w:t xml:space="preserve"> 1875.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widowControl w:val="off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color w:val="000000" w:themeColor="text1"/>
                <w:sz w:val="22"/>
                <w:szCs w:val="22"/>
              </w:rPr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</w:r>
          </w:p>
          <w:p>
            <w:pPr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961" w:type="dxa"/>
            <w:vAlign w:val="center"/>
            <w:textDirection w:val="lrTb"/>
            <w:noWrap w:val="false"/>
          </w:tcPr>
          <w:p>
            <w:pPr>
              <w:pStyle w:val="755"/>
              <w:numPr>
                <w:ilvl w:val="0"/>
                <w:numId w:val="0"/>
              </w:numPr>
              <w:contextualSpacing w:val="0"/>
              <w:ind w:left="57" w:right="113" w:firstLine="0"/>
              <w:jc w:val="both"/>
              <w:keepLines w:val="0"/>
              <w:keepNext w:val="0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 w:val="0"/>
                <w:i w:val="0"/>
                <w:iCs/>
                <w:caps w:val="0"/>
                <w:smallCaps w:val="0"/>
                <w:color w:val="000000" w:themeColor="text1"/>
                <w:spacing w:val="0"/>
                <w:sz w:val="18"/>
                <w:szCs w:val="18"/>
                <w:shd w:val="clear" w:color="auto" w:fill="ffffff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val="ru-RU" w:eastAsia="en-US" w:bidi="ar-SA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Предлагаемая к поставке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val="ru-RU" w:eastAsia="en-US" w:bidi="ar-SA"/>
              </w:rPr>
              <w:t xml:space="preserve">продукция должна быть включена в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val="ru-RU" w:eastAsia="en-US" w:bidi="ar-SA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еестр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ы (в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 зависимости от происхождения товара),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а именно:</w:t>
            </w:r>
            <w:r>
              <w:rPr>
                <w:rFonts w:ascii="Times New Roman" w:hAnsi="Times New Roman" w:cs="Times New Roman"/>
                <w:bCs w:val="0"/>
                <w:i w:val="0"/>
                <w:iCs/>
                <w:caps w:val="0"/>
                <w:smallCaps w:val="0"/>
                <w:color w:val="000000" w:themeColor="text1"/>
                <w:spacing w:val="0"/>
                <w:sz w:val="18"/>
                <w:szCs w:val="18"/>
                <w:shd w:val="clear" w:color="auto" w:fill="ffffff"/>
              </w:rPr>
            </w:r>
            <w:r>
              <w:rPr>
                <w:rFonts w:ascii="Times New Roman" w:hAnsi="Times New Roman" w:cs="Times New Roman"/>
                <w:bCs w:val="0"/>
                <w:i w:val="0"/>
                <w:iCs/>
                <w:caps w:val="0"/>
                <w:smallCaps w:val="0"/>
                <w:color w:val="000000" w:themeColor="text1"/>
                <w:spacing w:val="0"/>
                <w:sz w:val="18"/>
                <w:szCs w:val="18"/>
                <w:shd w:val="clear" w:color="auto" w:fill="ffffff"/>
              </w:rPr>
            </w:r>
          </w:p>
          <w:p>
            <w:pPr>
              <w:pStyle w:val="996"/>
              <w:numPr>
                <w:ilvl w:val="0"/>
                <w:numId w:val="13"/>
              </w:numPr>
              <w:contextualSpacing w:val="0"/>
              <w:ind w:left="261" w:right="113" w:hanging="249"/>
              <w:jc w:val="both"/>
              <w:keepLines w:val="0"/>
              <w:keepNext w:val="0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8"/>
                <w:szCs w:val="18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Реестр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российской промышленной продукции, предусмотренн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ый статьей 17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vertAlign w:val="superscript"/>
                <w:lang w:val="ru-RU" w:eastAsia="ru-RU" w:bidi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 Федерального закона «О промышленной политике в Российской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Федерации», содержащий в том числе: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8"/>
                <w:szCs w:val="18"/>
              </w:rPr>
            </w:r>
          </w:p>
          <w:p>
            <w:pPr>
              <w:pStyle w:val="996"/>
              <w:numPr>
                <w:ilvl w:val="0"/>
                <w:numId w:val="14"/>
              </w:numPr>
              <w:contextualSpacing w:val="0"/>
              <w:ind w:left="374" w:right="113" w:hanging="136"/>
              <w:jc w:val="both"/>
              <w:keepLines w:val="0"/>
              <w:keepNext w:val="0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информацию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о совок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упном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ПП РФ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 от 17 июля 2015 г. №719 «О подтверждении производства российской промы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шленной продукции» за выполнение (освоение) на территории Российской Федерации соответствующих операций (условий) уста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новлены требования о совокупном количестве баллов), которое составляет или превышает значение, определенное ПП РФ от 17 июля 2015 г. №719;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2"/>
                <w:szCs w:val="22"/>
              </w:rPr>
            </w:r>
          </w:p>
          <w:p>
            <w:pPr>
              <w:pStyle w:val="996"/>
              <w:numPr>
                <w:ilvl w:val="0"/>
                <w:numId w:val="14"/>
              </w:numPr>
              <w:contextualSpacing w:val="0"/>
              <w:ind w:left="374" w:right="113" w:hanging="136"/>
              <w:jc w:val="both"/>
              <w:keepLines w:val="0"/>
              <w:keepNext w:val="0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информацию об уровне радиоэлектронной продукции (для товара, являющегося в соответствии с ПП РФ от 17 июля 2015 г. №719 радиоэлектронной продукцией первого уровня или радиоэлектронной пр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одукцией второго уровня).</w:t>
            </w:r>
            <w:r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2"/>
                <w:szCs w:val="22"/>
              </w:rPr>
            </w:r>
          </w:p>
          <w:p>
            <w:pPr>
              <w:pStyle w:val="996"/>
              <w:numPr>
                <w:ilvl w:val="0"/>
                <w:numId w:val="13"/>
              </w:numPr>
              <w:contextualSpacing w:val="0"/>
              <w:ind w:left="261" w:right="113" w:hanging="249"/>
              <w:jc w:val="both"/>
              <w:keepLines w:val="0"/>
              <w:keepNext w:val="0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8"/>
                <w:szCs w:val="18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Реестр промышленной продукции, произведенной на территории государства -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члена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Евразийского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экономического союза, за иск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л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2"/>
                <w:szCs w:val="22"/>
                <w:lang w:eastAsia="en-US"/>
              </w:rPr>
              <w:t xml:space="preserve">ючением Российской Федерации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содержащей в том числе:</w:t>
            </w:r>
            <w:r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18"/>
                <w:szCs w:val="18"/>
              </w:rPr>
            </w:r>
          </w:p>
          <w:p>
            <w:pPr>
              <w:pStyle w:val="996"/>
              <w:numPr>
                <w:ilvl w:val="0"/>
                <w:numId w:val="15"/>
              </w:numPr>
              <w:contextualSpacing w:val="0"/>
              <w:ind w:left="374" w:right="113" w:hanging="136"/>
              <w:jc w:val="both"/>
              <w:keepLines w:val="0"/>
              <w:keepNext w:val="0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 информацию о совокупном количестве баллов за выполнение (освоение) на территории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Евразийского экономического союза соответствующих операций (условий) (если в отношении такого товара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правом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Евразийского экономического союза за вы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полнение (освоение) на территории Евразийского экономического союза соответствующих операций (условий) установлены требования о совокупном количестве баллов), которое составляет или превышает значение, определенное правом Евразийского экономического союза;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2"/>
                <w:szCs w:val="22"/>
              </w:rPr>
            </w:r>
          </w:p>
          <w:p>
            <w:pPr>
              <w:pStyle w:val="996"/>
              <w:numPr>
                <w:ilvl w:val="0"/>
                <w:numId w:val="15"/>
              </w:numPr>
              <w:contextualSpacing w:val="0"/>
              <w:ind w:left="374" w:right="113" w:hanging="136"/>
              <w:jc w:val="both"/>
              <w:keepLines w:val="0"/>
              <w:keepNext w:val="0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информацию об уровне радиоэлектронной продукции (для товара,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уровня).</w:t>
            </w:r>
            <w:r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2"/>
                <w:szCs w:val="22"/>
              </w:rPr>
            </w:r>
          </w:p>
        </w:tc>
        <w:tc>
          <w:tcPr>
            <w:tcW w:w="1881" w:type="dxa"/>
            <w:vAlign w:val="center"/>
            <w:textDirection w:val="lrTb"/>
            <w:noWrap w:val="false"/>
          </w:tcPr>
          <w:p>
            <w:pPr>
              <w:pStyle w:val="1036"/>
              <w:jc w:val="center"/>
              <w:spacing w:before="0" w:beforeAutospacing="0" w:after="0" w:afterAutospacing="0" w:line="240" w:lineRule="auto"/>
              <w:widowControl w:val="off"/>
              <w:rPr>
                <w:bCs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Указание характеристик</w:t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Cs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i/>
                <w:iCs/>
                <w:color w:val="000000" w:themeColor="text1"/>
                <w:sz w:val="22"/>
                <w:szCs w:val="22"/>
              </w:rPr>
            </w:r>
            <w:r>
              <w:rPr>
                <w:i/>
                <w:iCs/>
                <w:color w:val="000000" w:themeColor="text1"/>
                <w:sz w:val="22"/>
                <w:szCs w:val="22"/>
              </w:rPr>
            </w:r>
            <w:r>
              <w:rPr>
                <w:i/>
                <w:iCs/>
                <w:color w:val="000000" w:themeColor="text1"/>
                <w:sz w:val="22"/>
                <w:szCs w:val="22"/>
              </w:rPr>
            </w:r>
          </w:p>
        </w:tc>
        <w:tc>
          <w:tcPr>
            <w:tcW w:w="3343" w:type="dxa"/>
            <w:vAlign w:val="center"/>
            <w:textDirection w:val="lrTb"/>
            <w:noWrap w:val="false"/>
          </w:tcPr>
          <w:p>
            <w:pPr>
              <w:pStyle w:val="1036"/>
              <w:ind w:right="-52"/>
              <w:jc w:val="both"/>
              <w:spacing w:before="0" w:beforeAutospacing="0" w:after="0" w:afterAutospacing="0" w:line="240" w:lineRule="auto"/>
              <w:widowControl w:val="off"/>
              <w:rPr>
                <w:bCs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Для подтверждения происхождения товаров из Российской Федерации (</w:t>
            </w: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либо подтверждения товаров из государств – членов Евразийского экономического союза, за </w:t>
            </w: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исключением РФ) Участник должен предоставить </w:t>
            </w: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в составе заявки</w:t>
            </w: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 Коммерческое предложение</w:t>
            </w: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, с указанием в отношении поставляемой продукции информации:</w:t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</w:p>
          <w:p>
            <w:pPr>
              <w:pStyle w:val="1036"/>
              <w:numPr>
                <w:ilvl w:val="0"/>
                <w:numId w:val="16"/>
              </w:numPr>
              <w:ind w:left="317" w:right="-52" w:hanging="193"/>
              <w:jc w:val="both"/>
              <w:spacing w:before="0" w:beforeAutospacing="0" w:after="0" w:afterAutospacing="0" w:line="240" w:lineRule="auto"/>
              <w:widowControl w:val="off"/>
              <w:rPr>
                <w:rStyle w:val="1038"/>
                <w:bCs w:val="0"/>
                <w:i w:val="0"/>
                <w:color w:val="000000" w:themeColor="text1"/>
                <w:sz w:val="22"/>
                <w:szCs w:val="22"/>
              </w:rPr>
              <w:suppressLineNumbers w:val="0"/>
            </w:pP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наи</w:t>
            </w: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менование </w:t>
            </w: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реестра (реестров),</w:t>
            </w:r>
            <w:r>
              <w:rPr>
                <w:rStyle w:val="1038"/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rStyle w:val="1038"/>
                <w:bCs w:val="0"/>
                <w:i w:val="0"/>
                <w:color w:val="000000" w:themeColor="text1"/>
                <w:sz w:val="22"/>
                <w:szCs w:val="22"/>
              </w:rPr>
            </w:r>
          </w:p>
          <w:p>
            <w:pPr>
              <w:pStyle w:val="1036"/>
              <w:numPr>
                <w:ilvl w:val="0"/>
                <w:numId w:val="16"/>
              </w:numPr>
              <w:ind w:left="317" w:right="-52" w:hanging="193"/>
              <w:jc w:val="both"/>
              <w:spacing w:before="0" w:beforeAutospacing="0" w:after="0" w:afterAutospacing="0" w:line="240" w:lineRule="auto"/>
              <w:widowControl w:val="off"/>
              <w:rPr>
                <w:rStyle w:val="1038"/>
                <w:bCs w:val="0"/>
                <w:i w:val="0"/>
                <w:color w:val="000000" w:themeColor="text1"/>
                <w:sz w:val="22"/>
                <w:szCs w:val="22"/>
              </w:rPr>
              <w:suppressLineNumbers w:val="0"/>
            </w:pP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номер</w:t>
            </w: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 (номера) реестровой записи</w:t>
            </w: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 (</w:t>
            </w: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реестровых </w:t>
            </w: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записей), </w:t>
            </w: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соответствующих </w:t>
            </w: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реестров</w:t>
            </w:r>
            <w:r>
              <w:rPr>
                <w:rStyle w:val="1038"/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rStyle w:val="1038"/>
                <w:bCs w:val="0"/>
                <w:i w:val="0"/>
                <w:color w:val="000000" w:themeColor="text1"/>
                <w:sz w:val="22"/>
                <w:szCs w:val="22"/>
              </w:rPr>
            </w:r>
          </w:p>
          <w:p>
            <w:pPr>
              <w:pStyle w:val="1036"/>
              <w:ind w:right="-52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contextualSpacing w:val="0"/>
              <w:ind w:left="0" w:right="-57"/>
              <w:jc w:val="both"/>
              <w:keepLines w:val="0"/>
              <w:keepNext w:val="0"/>
              <w:spacing w:before="0" w:beforeAutospacing="0" w:line="240" w:lineRule="auto"/>
              <w:widowControl w:val="off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white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white"/>
              </w:rPr>
              <w:t xml:space="preserve">случае отсутствия треб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white"/>
              </w:rPr>
              <w:t xml:space="preserve">уемой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white"/>
              </w:rPr>
              <w:t xml:space="preserve">выше информации, заявка Участника приравнивается к заявке, в которой содержится предложение о поставке товаров, происходящих из иностранного государства (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highlight w:val="white"/>
              </w:rPr>
              <w:t xml:space="preserve">ПП РФ №1875 от 23.12.202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highlight w:val="white"/>
              </w:rPr>
              <w:t xml:space="preserve">4).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  <w:highlight w:val="none"/>
              </w:rPr>
            </w:r>
          </w:p>
          <w:p>
            <w:pPr>
              <w:pStyle w:val="1036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rStyle w:val="1038"/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pStyle w:val="1036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pStyle w:val="1036"/>
              <w:ind w:right="-52"/>
              <w:jc w:val="both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Участник должен предоставить в составе заявки Коммерческое предложение </w:t>
            </w: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по формам, устано</w:t>
            </w: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вленным Документацией о закупке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2162"/>
        </w:trPr>
        <w:tc>
          <w:tcPr>
            <w:tcW w:w="65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2.4.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798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widowControl w:val="off"/>
              <w:rPr>
                <w:rStyle w:val="1038"/>
                <w:b/>
                <w:bCs w:val="0"/>
                <w:i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По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позициям 437-439, 547-548,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 xml:space="preserve">587-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 xml:space="preserve">593,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 xml:space="preserve">688-691, 926, 971-974 </w:t>
            </w:r>
            <w:r>
              <w:rPr>
                <w:b w:val="0"/>
                <w:bCs w:val="0"/>
                <w:color w:val="000000" w:themeColor="text1"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 xml:space="preserve">для эксплуатационных средств)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>
              <w:rPr>
                <w:b w:val="0"/>
                <w:bCs w:val="0"/>
                <w:iCs/>
                <w:color w:val="000000" w:themeColor="text1"/>
                <w:sz w:val="22"/>
                <w:szCs w:val="22"/>
              </w:rPr>
              <w:t xml:space="preserve">Приложения </w:t>
            </w:r>
            <w:r>
              <w:rPr>
                <w:b w:val="0"/>
                <w:bCs w:val="0"/>
                <w:iCs/>
                <w:color w:val="000000" w:themeColor="text1"/>
                <w:sz w:val="22"/>
                <w:szCs w:val="22"/>
              </w:rPr>
              <w:t xml:space="preserve">№1 </w:t>
            </w:r>
            <w:r>
              <w:rPr>
                <w:b w:val="0"/>
                <w:bCs w:val="0"/>
                <w:iCs/>
                <w:color w:val="000000" w:themeColor="text1"/>
                <w:sz w:val="22"/>
                <w:szCs w:val="22"/>
              </w:rPr>
              <w:t xml:space="preserve">к </w:t>
            </w:r>
            <w:r>
              <w:rPr>
                <w:iCs/>
                <w:color w:val="000000" w:themeColor="text1"/>
                <w:sz w:val="22"/>
                <w:szCs w:val="22"/>
              </w:rPr>
              <w:t xml:space="preserve">настоящим Техническим требованиям</w:t>
            </w: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Style w:val="1038"/>
                <w:b/>
                <w:bCs/>
                <w:i w:val="0"/>
                <w:iCs w:val="0"/>
                <w:color w:val="000000" w:themeColor="text1"/>
                <w:sz w:val="22"/>
                <w:szCs w:val="22"/>
              </w:rPr>
              <w:t xml:space="preserve">установлен запрет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закупок товаров, происходящих из иностранных государств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(в соответствии с </w:t>
            </w:r>
            <w:r>
              <w:rPr>
                <w:color w:val="000000" w:themeColor="text1"/>
                <w:sz w:val="22"/>
                <w:szCs w:val="22"/>
              </w:rPr>
              <w:t xml:space="preserve">ПП РФ № 1875 от </w:t>
            </w:r>
            <w:r>
              <w:rPr>
                <w:color w:val="000000" w:themeColor="text1"/>
                <w:sz w:val="22"/>
                <w:szCs w:val="22"/>
              </w:rPr>
              <w:t xml:space="preserve">23.12.2024).</w:t>
            </w:r>
            <w:r>
              <w:rPr>
                <w:rStyle w:val="1038"/>
                <w:b/>
                <w:bCs w:val="0"/>
                <w:i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Style w:val="1038"/>
                <w:b/>
                <w:bCs w:val="0"/>
                <w:i w:val="0"/>
                <w:color w:val="000000" w:themeColor="text1"/>
                <w:sz w:val="22"/>
                <w:szCs w:val="22"/>
                <w:highlight w:val="none"/>
              </w:rPr>
            </w:r>
          </w:p>
        </w:tc>
        <w:tc>
          <w:tcPr>
            <w:tcW w:w="3961" w:type="dxa"/>
            <w:vAlign w:val="center"/>
            <w:vMerge w:val="restart"/>
            <w:textDirection w:val="lrTb"/>
            <w:noWrap w:val="false"/>
          </w:tcPr>
          <w:p>
            <w:pPr>
              <w:pStyle w:val="1036"/>
              <w:ind w:right="-52"/>
              <w:jc w:val="both"/>
              <w:spacing w:before="0" w:beforeAutospacing="0" w:after="0" w:afterAutospacing="0" w:line="240" w:lineRule="auto"/>
              <w:widowControl w:val="off"/>
              <w:rPr>
                <w:rStyle w:val="1038"/>
                <w:b/>
                <w:bCs w:val="0"/>
                <w:i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На основании абзаца третьего подпункта «и» пункта 5 ПП РФ №1875</w:t>
            </w:r>
            <w:r>
              <w:rPr>
                <w:rStyle w:val="1038"/>
                <w:b/>
                <w:bCs/>
                <w:i w:val="0"/>
                <w:iCs w:val="0"/>
                <w:color w:val="000000" w:themeColor="text1"/>
                <w:sz w:val="22"/>
                <w:szCs w:val="22"/>
              </w:rPr>
              <w:t xml:space="preserve"> Заказчик не применяет запрет на данный перечень товаров</w:t>
            </w:r>
            <w:r>
              <w:rPr>
                <w:rStyle w:val="1038"/>
                <w:b/>
                <w:bCs w:val="0"/>
                <w:i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Style w:val="1038"/>
                <w:b/>
                <w:bCs w:val="0"/>
                <w:i w:val="0"/>
                <w:color w:val="000000" w:themeColor="text1"/>
                <w:sz w:val="22"/>
                <w:szCs w:val="22"/>
                <w:highlight w:val="none"/>
              </w:rPr>
            </w:r>
          </w:p>
        </w:tc>
        <w:tc>
          <w:tcPr>
            <w:tcW w:w="1881" w:type="dxa"/>
            <w:vAlign w:val="center"/>
            <w:vMerge w:val="restart"/>
            <w:textDirection w:val="lrTb"/>
            <w:noWrap w:val="false"/>
          </w:tcPr>
          <w:p>
            <w:pPr>
              <w:pStyle w:val="1036"/>
              <w:jc w:val="center"/>
              <w:spacing w:before="0" w:beforeAutospacing="0" w:after="0" w:afterAutospacing="0" w:line="240" w:lineRule="auto"/>
              <w:widowControl w:val="off"/>
              <w:rPr>
                <w:bCs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Указание характеристик</w:t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</w:p>
          <w:p>
            <w:pPr>
              <w:pStyle w:val="1036"/>
              <w:jc w:val="center"/>
              <w:spacing w:before="0" w:beforeAutospacing="0" w:after="0" w:afterAutospacing="0" w:line="240" w:lineRule="auto"/>
              <w:widowControl w:val="off"/>
              <w:rPr>
                <w:rStyle w:val="1038"/>
                <w:bCs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Style w:val="1038"/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rStyle w:val="1038"/>
                <w:bCs w:val="0"/>
                <w:i w:val="0"/>
                <w:color w:val="000000" w:themeColor="text1"/>
                <w:sz w:val="22"/>
                <w:szCs w:val="22"/>
              </w:rPr>
            </w:r>
          </w:p>
        </w:tc>
        <w:tc>
          <w:tcPr>
            <w:tcW w:w="3343" w:type="dxa"/>
            <w:vAlign w:val="center"/>
            <w:vMerge w:val="restart"/>
            <w:textDirection w:val="lrTb"/>
            <w:noWrap w:val="false"/>
          </w:tcPr>
          <w:p>
            <w:pPr>
              <w:pStyle w:val="1036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pStyle w:val="1036"/>
              <w:ind w:right="-52"/>
              <w:jc w:val="both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Участник должен предоставить в составе заявки Коммерческое предложение </w:t>
            </w: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по формам, устано</w:t>
            </w: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вленным Документацией о закупке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pStyle w:val="1036"/>
              <w:ind w:right="-52"/>
              <w:spacing w:before="0" w:beforeAutospacing="0" w:after="0" w:afterAutospacing="0" w:line="240" w:lineRule="auto"/>
              <w:widowControl w:val="off"/>
              <w:rPr>
                <w:rStyle w:val="1038"/>
                <w:bCs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Style w:val="1038"/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rStyle w:val="1038"/>
                <w:bCs w:val="0"/>
                <w:i w:val="0"/>
                <w:color w:val="000000" w:themeColor="text1"/>
                <w:sz w:val="22"/>
                <w:szCs w:val="22"/>
              </w:rPr>
            </w:r>
          </w:p>
        </w:tc>
        <w:tc>
          <w:tcPr>
            <w:tcW w:w="1809" w:type="dxa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425"/>
        </w:trPr>
        <w:tc>
          <w:tcPr>
            <w:tcW w:w="65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2.5.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798" w:type="dxa"/>
            <w:vAlign w:val="center"/>
            <w:vMerge w:val="restart"/>
            <w:textDirection w:val="lrTb"/>
            <w:noWrap w:val="false"/>
          </w:tcPr>
          <w:p>
            <w:pPr>
              <w:pStyle w:val="1029"/>
              <w:ind w:left="57" w:right="57" w:firstLine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  <w:suppressLineNumbers w:val="0"/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По позициям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389-392, 542-543, 545-546, 554-575, 602-606, 642-643, 648-654, 659-669, 970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color w:val="000000" w:themeColor="text1"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 xml:space="preserve">для эксплуатационных средств)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>
              <w:rPr>
                <w:b w:val="0"/>
                <w:bCs w:val="0"/>
                <w:iCs/>
                <w:color w:val="000000" w:themeColor="text1"/>
                <w:sz w:val="22"/>
                <w:szCs w:val="22"/>
              </w:rPr>
              <w:t xml:space="preserve">Приложения </w:t>
            </w:r>
            <w:r>
              <w:rPr>
                <w:b w:val="0"/>
                <w:bCs w:val="0"/>
                <w:iCs/>
                <w:color w:val="000000" w:themeColor="text1"/>
                <w:sz w:val="22"/>
                <w:szCs w:val="22"/>
              </w:rPr>
              <w:t xml:space="preserve">№1 </w:t>
            </w:r>
            <w:r>
              <w:rPr>
                <w:b w:val="0"/>
                <w:bCs w:val="0"/>
                <w:iCs/>
                <w:color w:val="000000" w:themeColor="text1"/>
                <w:sz w:val="22"/>
                <w:szCs w:val="22"/>
              </w:rPr>
              <w:t xml:space="preserve">к настоя</w:t>
            </w:r>
            <w:r>
              <w:rPr>
                <w:iCs/>
                <w:color w:val="000000" w:themeColor="text1"/>
                <w:sz w:val="22"/>
                <w:szCs w:val="22"/>
              </w:rPr>
              <w:t xml:space="preserve">щим Техническим требованиям</w:t>
            </w:r>
            <w:r>
              <w:rPr>
                <w:rStyle w:val="1038"/>
                <w:b/>
                <w:bCs/>
                <w:i w:val="0"/>
                <w:iCs w:val="0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hint="cs"/>
                <w:b/>
                <w:bCs/>
                <w:iCs/>
                <w:color w:val="auto"/>
                <w:sz w:val="22"/>
                <w:szCs w:val="22"/>
              </w:rPr>
              <w:t xml:space="preserve">у</w:t>
            </w:r>
            <w:r>
              <w:rPr>
                <w:b/>
                <w:bCs/>
                <w:sz w:val="22"/>
                <w:szCs w:val="22"/>
              </w:rPr>
              <w:t xml:space="preserve">становлено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реимущество в отношении товаров российского происхождения</w:t>
            </w:r>
            <w:r>
              <w:rPr>
                <w:b/>
                <w:bCs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29"/>
              <w:ind w:left="57" w:right="57"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если Правительством РФ установлено </w:t>
            </w:r>
            <w:hyperlink r:id="rId14" w:tooltip="https://login.consultant.ru/link/?req=doc&amp;base=LAW&amp;n=494318&amp;dst=100008" w:history="1">
              <w:r>
                <w:rPr>
                  <w:rFonts w:ascii="Times New Roman" w:hAnsi="Times New Roman" w:eastAsia="Times New Roman" w:cs="Times New Roman"/>
                  <w:color w:val="auto"/>
                  <w:sz w:val="22"/>
                  <w:szCs w:val="22"/>
                  <w:lang w:eastAsia="ru-RU"/>
                </w:rPr>
                <w:t xml:space="preserve">преимущество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 в отношении товаров российского происхождения: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29"/>
              <w:ind w:left="57" w:right="57"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а) при рассмотрении, оценке, сопоставлении заявок на участие в закупке, окончательных предложений осуществляется 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снижение на 15 % (пятнадцать процентов) ценового предложения, поданного участником 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29"/>
              <w:ind w:left="57" w:right="57"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2"/>
                  <w:szCs w:val="22"/>
                  <w:lang w:eastAsia="ru-RU"/>
                </w:rPr>
                <w:t xml:space="preserve">подпункте «а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2"/>
                  <w:szCs w:val="22"/>
                  <w:lang w:eastAsia="ru-RU"/>
                </w:rPr>
                <w:t xml:space="preserve">подпунктом «а»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 настоящего пункта,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29"/>
              <w:ind w:left="57" w:right="57"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</w:tc>
        <w:tc>
          <w:tcPr>
            <w:tcW w:w="3961" w:type="dxa"/>
            <w:vAlign w:val="center"/>
            <w:vMerge w:val="restart"/>
            <w:textDirection w:val="lrTb"/>
            <w:noWrap w:val="false"/>
          </w:tcPr>
          <w:p>
            <w:pPr>
              <w:pStyle w:val="1036"/>
              <w:ind w:right="-52"/>
              <w:jc w:val="both"/>
              <w:spacing w:before="0" w:beforeAutospacing="0" w:after="0" w:afterAutospacing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Style w:val="1038"/>
                <w:b w:val="0"/>
                <w:bCs w:val="0"/>
                <w:i w:val="0"/>
                <w:color w:val="000000" w:themeColor="text1"/>
                <w:sz w:val="22"/>
                <w:szCs w:val="22"/>
              </w:rPr>
              <w:t xml:space="preserve">Указание (декларирование) Участником в своей заявке наименования страны происхождения товара в соответствии с Общероссийским классификатором стран мира (ОКСМ)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36"/>
              <w:ind w:right="-52"/>
              <w:spacing w:before="0" w:beforeAutospacing="0" w:after="0" w:afterAutospacing="0" w:line="240" w:lineRule="auto"/>
              <w:widowControl w:val="off"/>
              <w:rPr>
                <w:b w:val="0"/>
                <w:bCs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rStyle w:val="1038"/>
                <w:b w:val="0"/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b w:val="0"/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b w:val="0"/>
                <w:bCs w:val="0"/>
                <w:i w:val="0"/>
                <w:color w:val="000000" w:themeColor="text1"/>
                <w:sz w:val="22"/>
                <w:szCs w:val="22"/>
              </w:rPr>
            </w:r>
          </w:p>
        </w:tc>
        <w:tc>
          <w:tcPr>
            <w:tcW w:w="1881" w:type="dxa"/>
            <w:vAlign w:val="center"/>
            <w:vMerge w:val="restart"/>
            <w:textDirection w:val="lrTb"/>
            <w:noWrap w:val="false"/>
          </w:tcPr>
          <w:p>
            <w:pPr>
              <w:pStyle w:val="1036"/>
              <w:jc w:val="center"/>
              <w:spacing w:before="0" w:beforeAutospacing="0" w:after="0" w:afterAutospacing="0" w:line="240" w:lineRule="auto"/>
              <w:widowControl w:val="off"/>
              <w:rPr>
                <w:bCs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Указание характеристик</w:t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</w:p>
          <w:p>
            <w:pPr>
              <w:pStyle w:val="1036"/>
              <w:jc w:val="center"/>
              <w:spacing w:before="0" w:beforeAutospacing="0" w:after="0" w:afterAutospacing="0" w:line="240" w:lineRule="auto"/>
              <w:widowControl w:val="off"/>
              <w:rPr>
                <w:bCs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</w:p>
        </w:tc>
        <w:tc>
          <w:tcPr>
            <w:tcW w:w="3343" w:type="dxa"/>
            <w:vAlign w:val="center"/>
            <w:vMerge w:val="restart"/>
            <w:textDirection w:val="lrTb"/>
            <w:noWrap w:val="false"/>
          </w:tcPr>
          <w:p>
            <w:pPr>
              <w:pStyle w:val="1036"/>
              <w:ind w:right="-52"/>
              <w:jc w:val="both"/>
              <w:spacing w:before="0" w:beforeAutospacing="0" w:after="0" w:afterAutospacing="0" w:line="240" w:lineRule="auto"/>
              <w:widowControl w:val="off"/>
              <w:rPr>
                <w:bCs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rStyle w:val="1038"/>
                <w:i w:val="0"/>
                <w:iCs w:val="0"/>
                <w:color w:val="000000" w:themeColor="text1"/>
                <w:sz w:val="22"/>
                <w:szCs w:val="22"/>
              </w:rPr>
              <w:t xml:space="preserve">У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частник должен предоставить в составе заявки Коммерческое предложение по форме, установленной в Документации о закупке, с указанием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val="ru-RU" w:eastAsia="en-US"/>
              </w:rPr>
              <w:t xml:space="preserve"> о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color="auto" w:fill="ffffff"/>
              </w:rPr>
              <w:t xml:space="preserve">стране происхождения товара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/>
              </w:rPr>
              <w:t xml:space="preserve">в соответствии с </w:t>
            </w:r>
            <w:r>
              <w:rPr>
                <w:rStyle w:val="917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color="auto" w:fill="ffffff"/>
              </w:rPr>
              <w:t xml:space="preserve">Общероссийским классификатором стран мира (ОКСМ).</w:t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</w:p>
        </w:tc>
        <w:tc>
          <w:tcPr>
            <w:tcW w:w="1809" w:type="dxa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419"/>
        </w:trPr>
        <w:tc>
          <w:tcPr>
            <w:tcW w:w="657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3. 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gridSpan w:val="2"/>
            <w:tcW w:w="7759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Требования к отдельным обязательствам поставщика по договору: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881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34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tcW w:w="657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3.1.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798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Требования к гарантиям, гарантийному и послегарантийному обслуживанию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961" w:type="dxa"/>
            <w:vAlign w:val="center"/>
            <w:textDirection w:val="lrTb"/>
            <w:noWrap w:val="false"/>
          </w:tcPr>
          <w:p>
            <w:pPr>
              <w:ind w:right="126"/>
              <w:jc w:val="both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Гарантийные</w:t>
            </w:r>
            <w:r>
              <w:rPr>
                <w:color w:val="000000" w:themeColor="text1"/>
                <w:spacing w:val="1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обязательства</w:t>
            </w:r>
            <w:r>
              <w:rPr>
                <w:color w:val="000000" w:themeColor="text1"/>
                <w:spacing w:val="1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действуют</w:t>
            </w:r>
            <w:r>
              <w:rPr>
                <w:color w:val="000000" w:themeColor="text1"/>
                <w:spacing w:val="1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в</w:t>
            </w:r>
            <w:r>
              <w:rPr>
                <w:color w:val="000000" w:themeColor="text1"/>
                <w:spacing w:val="1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течение</w:t>
            </w:r>
            <w:r>
              <w:rPr>
                <w:color w:val="000000" w:themeColor="text1"/>
                <w:spacing w:val="1"/>
                <w:sz w:val="22"/>
                <w:szCs w:val="22"/>
                <w:lang w:eastAsia="en-US"/>
              </w:rPr>
              <w:t xml:space="preserve"> не менее 12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(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двенадцати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)</w:t>
            </w:r>
            <w:r>
              <w:rPr>
                <w:color w:val="000000" w:themeColor="text1"/>
                <w:spacing w:val="1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месяцев с</w:t>
            </w:r>
            <w:r>
              <w:rPr>
                <w:color w:val="000000" w:themeColor="text1"/>
                <w:spacing w:val="1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даты</w:t>
            </w:r>
            <w:r>
              <w:rPr>
                <w:color w:val="000000" w:themeColor="text1"/>
                <w:spacing w:val="1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подписания</w:t>
            </w:r>
            <w:bookmarkStart w:id="20" w:name="undefined"/>
            <w:r>
              <w:rPr>
                <w:color w:val="000000" w:themeColor="text1"/>
                <w:sz w:val="22"/>
                <w:szCs w:val="22"/>
              </w:rPr>
            </w:r>
            <w:bookmarkEnd w:id="20"/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 ТОРГ-12 / УПД.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Транспортные расходы, связанные с исполнением гарантийных обязательств, во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злагаются</w:t>
            </w:r>
            <w:r>
              <w:rPr>
                <w:color w:val="000000" w:themeColor="text1"/>
                <w:spacing w:val="1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 xml:space="preserve">на</w:t>
            </w:r>
            <w:r>
              <w:rPr>
                <w:color w:val="000000" w:themeColor="text1"/>
                <w:spacing w:val="-14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 xml:space="preserve">Поставщика.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ind w:right="127"/>
              <w:jc w:val="both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 xml:space="preserve">Послегарантийное обслуживание договором не предусмотрено.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88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Cs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Согласие с требованием</w:t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Cs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</w:p>
        </w:tc>
        <w:tc>
          <w:tcPr>
            <w:tcW w:w="334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</w:r>
            <w:r>
              <w:rPr>
                <w:color w:val="000000" w:themeColor="text1"/>
                <w:sz w:val="22"/>
                <w:szCs w:val="22"/>
              </w:rPr>
              <w:t xml:space="preserve">«-»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672"/>
        </w:trPr>
        <w:tc>
          <w:tcPr>
            <w:tcW w:w="657" w:type="dxa"/>
            <w:vAlign w:val="center"/>
            <w:textDirection w:val="lrTb"/>
            <w:noWrap w:val="false"/>
          </w:tcPr>
          <w:p>
            <w:pPr>
              <w:ind w:left="-142"/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3.2.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798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Требования к документам, передаваемым вместе с оборудованием (на этапе исполнения договора)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961" w:type="dxa"/>
            <w:vAlign w:val="center"/>
            <w:textDirection w:val="lrTb"/>
            <w:noWrap w:val="false"/>
          </w:tcPr>
          <w:p>
            <w:pPr>
              <w:ind w:right="126"/>
              <w:jc w:val="both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в соответствии с п. 3.3 Проекта договора (Приложение №2 к Документации о закупке)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88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Cs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Согласие с требованием</w:t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</w:p>
        </w:tc>
        <w:tc>
          <w:tcPr>
            <w:tcW w:w="334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  <w:t xml:space="preserve">«-»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ind w:right="317"/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355"/>
        </w:trPr>
        <w:tc>
          <w:tcPr>
            <w:tcW w:w="657" w:type="dxa"/>
            <w:vAlign w:val="center"/>
            <w:textDirection w:val="lrTb"/>
            <w:noWrap w:val="false"/>
          </w:tcPr>
          <w:p>
            <w:pPr>
              <w:ind w:left="-142"/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3.3.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798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Требования к </w:t>
            </w:r>
            <w:r>
              <w:rPr>
                <w:color w:val="000000" w:themeColor="text1"/>
                <w:sz w:val="22"/>
                <w:szCs w:val="22"/>
              </w:rPr>
              <w:t xml:space="preserve">доставке,  маркировке</w:t>
            </w:r>
            <w:r>
              <w:rPr>
                <w:color w:val="000000" w:themeColor="text1"/>
                <w:sz w:val="22"/>
                <w:szCs w:val="22"/>
              </w:rPr>
              <w:t xml:space="preserve">, упаковке, транспортировке, перемещению, условиям хранения, приемке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961" w:type="dxa"/>
            <w:vAlign w:val="center"/>
            <w:textDirection w:val="lrTb"/>
            <w:noWrap w:val="false"/>
          </w:tcPr>
          <w:p>
            <w:pPr>
              <w:ind w:right="126"/>
              <w:jc w:val="both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в соответствии с разделом </w:t>
            </w:r>
            <w:r>
              <w:rPr>
                <w:color w:val="000000" w:themeColor="text1"/>
                <w:sz w:val="22"/>
                <w:szCs w:val="22"/>
                <w:highlight w:val="white"/>
                <w:lang w:eastAsia="en-US"/>
              </w:rPr>
              <w:t xml:space="preserve">3 Проекта договора (Приложение №2 к Документации о закупке)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188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bCs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Согласие с требованием</w:t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bCs w:val="0"/>
                <w:i w:val="0"/>
                <w:color w:val="000000" w:themeColor="text1"/>
                <w:sz w:val="22"/>
                <w:szCs w:val="22"/>
              </w:rPr>
            </w:r>
          </w:p>
        </w:tc>
        <w:tc>
          <w:tcPr>
            <w:tcW w:w="334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</w:r>
            <w:r>
              <w:rPr>
                <w:color w:val="000000" w:themeColor="text1"/>
                <w:sz w:val="22"/>
                <w:szCs w:val="22"/>
              </w:rPr>
              <w:t xml:space="preserve">«-»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</w:tbl>
    <w:p>
      <w:pPr>
        <w:pStyle w:val="756"/>
        <w:numPr>
          <w:ilvl w:val="0"/>
          <w:numId w:val="0"/>
        </w:numPr>
        <w:rPr>
          <w:color w:val="000000" w:themeColor="text1"/>
          <w:sz w:val="16"/>
          <w:szCs w:val="16"/>
        </w:rPr>
      </w:pPr>
      <w:r>
        <w:rPr>
          <w:rFonts w:eastAsia="Times New Roman" w:cs="Times New Roman"/>
          <w:b/>
          <w:color w:val="000000" w:themeColor="text1"/>
          <w:sz w:val="24"/>
          <w:highlight w:val="none"/>
        </w:rPr>
      </w:r>
      <w:r>
        <w:rPr>
          <w:color w:val="000000" w:themeColor="text1"/>
          <w:sz w:val="16"/>
          <w:szCs w:val="16"/>
        </w:rPr>
      </w:r>
      <w:r>
        <w:rPr>
          <w:color w:val="000000" w:themeColor="text1"/>
          <w:sz w:val="16"/>
          <w:szCs w:val="16"/>
        </w:rPr>
      </w:r>
    </w:p>
    <w:p>
      <w:pPr>
        <w:pStyle w:val="756"/>
        <w:numPr>
          <w:ilvl w:val="0"/>
          <w:numId w:val="0"/>
        </w:numPr>
        <w:jc w:val="center"/>
        <w:spacing w:before="0" w:beforeAutospacing="0" w:after="0" w:afterAutospacing="0" w:line="240" w:lineRule="auto"/>
        <w:rPr>
          <w:rFonts w:eastAsia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</w:rPr>
      </w:r>
      <w:r>
        <w:rPr>
          <w:rFonts w:eastAsia="Times New Roman" w:cs="Times New Roman"/>
          <w:b/>
          <w:color w:val="000000" w:themeColor="text1"/>
          <w:sz w:val="24"/>
        </w:rPr>
        <w:t xml:space="preserve">3.    Требования к документации по ценообразованию на этапе закупки</w:t>
      </w:r>
      <w:r>
        <w:rPr>
          <w:rFonts w:eastAsia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eastAsia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left="0" w:firstLine="720"/>
        <w:spacing w:before="0" w:beforeAutospacing="0" w:after="0" w:afterAutospacing="0" w:line="240" w:lineRule="auto"/>
        <w:rPr>
          <w:i w:val="0"/>
          <w:iCs w:val="0"/>
          <w:color w:val="000000" w:themeColor="text1"/>
          <w:highlight w:val="none"/>
        </w:rPr>
        <w:suppressLineNumbers w:val="0"/>
      </w:pPr>
      <w:r>
        <w:rPr>
          <w:i w:val="0"/>
          <w:iCs w:val="0"/>
          <w:color w:val="000000" w:themeColor="text1"/>
        </w:rPr>
      </w:r>
      <w:r>
        <w:rPr>
          <w:rFonts w:eastAsia="Times New Roman" w:cs="Times New Roman"/>
          <w:i w:val="0"/>
          <w:iCs w:val="0"/>
          <w:color w:val="000000" w:themeColor="text1"/>
          <w:sz w:val="24"/>
        </w:rPr>
        <w:t xml:space="preserve">Отсутствуют</w:t>
      </w:r>
      <w:r>
        <w:rPr>
          <w:i w:val="0"/>
          <w:iCs w:val="0"/>
          <w:color w:val="000000" w:themeColor="text1"/>
          <w:highlight w:val="none"/>
        </w:rPr>
      </w:r>
      <w:r>
        <w:rPr>
          <w:i w:val="0"/>
          <w:iCs w:val="0"/>
          <w:color w:val="000000" w:themeColor="text1"/>
          <w:highlight w:val="none"/>
        </w:rPr>
      </w:r>
    </w:p>
    <w:p>
      <w:pPr>
        <w:ind w:left="0" w:firstLine="720"/>
        <w:spacing w:before="0" w:beforeAutospacing="0" w:after="0" w:afterAutospacing="0" w:line="240" w:lineRule="auto"/>
        <w:rPr>
          <w:color w:val="000000" w:themeColor="text1"/>
          <w:sz w:val="18"/>
          <w:szCs w:val="18"/>
        </w:rPr>
        <w:suppressLineNumbers w:val="0"/>
      </w:pPr>
      <w:r>
        <w:rPr>
          <w:color w:val="000000" w:themeColor="text1"/>
        </w:rPr>
      </w:r>
      <w:r>
        <w:rPr>
          <w:color w:val="000000" w:themeColor="text1"/>
          <w:sz w:val="18"/>
          <w:szCs w:val="18"/>
        </w:rPr>
      </w:r>
      <w:r>
        <w:rPr>
          <w:color w:val="000000" w:themeColor="text1"/>
          <w:sz w:val="18"/>
          <w:szCs w:val="18"/>
        </w:rPr>
      </w:r>
    </w:p>
    <w:p>
      <w:pPr>
        <w:ind w:left="0" w:firstLine="0"/>
        <w:jc w:val="center"/>
        <w:spacing w:before="0" w:beforeAutospacing="0" w:after="0" w:afterAutospacing="0" w:line="240" w:lineRule="auto"/>
        <w:rPr>
          <w:color w:val="000000" w:themeColor="text1"/>
          <w:highlight w:val="none"/>
        </w:rPr>
        <w:suppressLineNumbers w:val="0"/>
      </w:pPr>
      <w:r>
        <w:rPr>
          <w:color w:val="000000" w:themeColor="text1"/>
        </w:rPr>
      </w:r>
      <w:r>
        <w:rPr>
          <w:rFonts w:eastAsia="Times New Roman" w:cs="Times New Roman"/>
          <w:b/>
          <w:color w:val="000000" w:themeColor="text1"/>
          <w:sz w:val="24"/>
        </w:rPr>
        <w:t xml:space="preserve">4.    Требования к документации по ценообразованию на этапе заключения (исполнения) договора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left="0" w:firstLine="720"/>
        <w:spacing w:before="0" w:beforeAutospacing="0" w:after="0" w:afterAutospacing="0" w:line="240" w:lineRule="auto"/>
        <w:rPr>
          <w:i w:val="0"/>
          <w:iCs w:val="0"/>
          <w:color w:val="000000" w:themeColor="text1"/>
          <w:highlight w:val="none"/>
        </w:rPr>
        <w:suppressLineNumbers w:val="0"/>
      </w:pPr>
      <w:r>
        <w:rPr>
          <w:i w:val="0"/>
          <w:iCs w:val="0"/>
          <w:color w:val="000000" w:themeColor="text1"/>
        </w:rPr>
      </w:r>
      <w:r>
        <w:rPr>
          <w:rFonts w:eastAsia="Times New Roman" w:cs="Times New Roman"/>
          <w:i w:val="0"/>
          <w:iCs w:val="0"/>
          <w:color w:val="000000" w:themeColor="text1"/>
          <w:sz w:val="24"/>
        </w:rPr>
        <w:t xml:space="preserve">Отсутствуют</w:t>
      </w:r>
      <w:r>
        <w:rPr>
          <w:i w:val="0"/>
          <w:iCs w:val="0"/>
          <w:color w:val="000000" w:themeColor="text1"/>
          <w:highlight w:val="none"/>
        </w:rPr>
      </w:r>
      <w:r>
        <w:rPr>
          <w:i w:val="0"/>
          <w:iCs w:val="0"/>
          <w:color w:val="000000" w:themeColor="text1"/>
          <w:highlight w:val="none"/>
        </w:rPr>
      </w:r>
    </w:p>
    <w:p>
      <w:pPr>
        <w:ind w:left="0" w:firstLine="0"/>
        <w:jc w:val="center"/>
        <w:spacing w:before="0" w:beforeAutospacing="0" w:after="0" w:afterAutospacing="0" w:line="240" w:lineRule="auto"/>
        <w:rPr>
          <w:color w:val="000000" w:themeColor="text1"/>
        </w:rPr>
        <w:suppressLineNumbers w:val="0"/>
      </w:pPr>
      <w:r>
        <w:rPr>
          <w:color w:val="000000" w:themeColor="text1"/>
          <w:highlight w:val="none"/>
        </w:rPr>
      </w:r>
      <w:r>
        <w:rPr>
          <w:rFonts w:eastAsia="Times New Roman" w:cs="Times New Roman"/>
          <w:b/>
          <w:color w:val="000000" w:themeColor="text1"/>
          <w:sz w:val="24"/>
        </w:rPr>
        <w:t xml:space="preserve">5.    Приложения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96"/>
        <w:numPr>
          <w:ilvl w:val="0"/>
          <w:numId w:val="17"/>
        </w:numPr>
        <w:jc w:val="both"/>
        <w:spacing w:before="0" w:beforeAutospacing="0" w:after="0" w:afterAutospacing="0" w:line="240" w:lineRule="auto"/>
        <w:widowControl w:val="off"/>
        <w:rPr>
          <w:rFonts w:eastAsia="Times New Roman" w:cs="Times New Roman"/>
          <w:bCs w:val="0"/>
          <w:i w:val="0"/>
          <w:color w:val="000000" w:themeColor="text1"/>
          <w:sz w:val="24"/>
          <w:szCs w:val="24"/>
        </w:rPr>
      </w:pPr>
      <w:r>
        <w:rPr>
          <w:rFonts w:eastAsia="Times New Roman" w:cs="Times New Roman"/>
          <w:i w:val="0"/>
          <w:iCs w:val="0"/>
          <w:color w:val="000000" w:themeColor="text1"/>
          <w:sz w:val="24"/>
        </w:rPr>
        <w:t xml:space="preserve">Технические, функциональные характеристики (потребительские свойства), количественные, качественные характеристики продукции.</w:t>
      </w:r>
      <w:r>
        <w:rPr>
          <w:rFonts w:eastAsia="Times New Roman" w:cs="Times New Roman"/>
          <w:bCs w:val="0"/>
          <w:i w:val="0"/>
          <w:color w:val="000000" w:themeColor="text1"/>
          <w:sz w:val="24"/>
          <w:szCs w:val="24"/>
        </w:rPr>
      </w:r>
      <w:r>
        <w:rPr>
          <w:rFonts w:eastAsia="Times New Roman" w:cs="Times New Roman"/>
          <w:bCs w:val="0"/>
          <w:i w:val="0"/>
          <w:color w:val="000000" w:themeColor="text1"/>
          <w:sz w:val="24"/>
          <w:szCs w:val="24"/>
        </w:rPr>
      </w:r>
    </w:p>
    <w:p>
      <w:pPr>
        <w:pStyle w:val="996"/>
        <w:numPr>
          <w:ilvl w:val="0"/>
          <w:numId w:val="17"/>
        </w:numPr>
        <w:jc w:val="both"/>
        <w:spacing w:before="0" w:beforeAutospacing="0" w:after="0" w:afterAutospacing="0" w:line="240" w:lineRule="auto"/>
        <w:rPr>
          <w:bCs w:val="0"/>
          <w:i w:val="0"/>
          <w:color w:val="000000" w:themeColor="text1"/>
        </w:rPr>
        <w:suppressLineNumbers w:val="0"/>
      </w:pPr>
      <w:r>
        <w:rPr>
          <w:i w:val="0"/>
          <w:iCs w:val="0"/>
          <w:color w:val="000000" w:themeColor="text1"/>
          <w:sz w:val="24"/>
          <w:szCs w:val="24"/>
          <w:shd w:val="clear" w:color="ffffff" w:themeColor="background1" w:fill="ffffff" w:themeFill="background1"/>
        </w:rPr>
        <w:t xml:space="preserve">Реквизиты грузополучателей</w:t>
      </w:r>
      <w:r>
        <w:rPr>
          <w:bCs w:val="0"/>
          <w:i w:val="0"/>
          <w:color w:val="000000" w:themeColor="text1"/>
        </w:rPr>
      </w:r>
      <w:r>
        <w:rPr>
          <w:bCs w:val="0"/>
          <w:i w:val="0"/>
          <w:color w:val="000000" w:themeColor="text1"/>
        </w:rPr>
      </w:r>
    </w:p>
    <w:p>
      <w:pPr>
        <w:ind w:left="0" w:firstLine="720"/>
        <w:spacing w:before="0" w:beforeAutospacing="0" w:after="0" w:afterAutospacing="0" w:line="240" w:lineRule="auto"/>
        <w:rPr>
          <w:color w:val="000000" w:themeColor="text1"/>
        </w:rPr>
        <w:suppressLineNumbers w:val="0"/>
      </w:pPr>
      <w:r>
        <w:rPr>
          <w:color w:val="000000" w:themeColor="text1"/>
          <w:highlight w:val="none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6838" w:h="11906" w:orient="landscape"/>
      <w:pgMar w:top="851" w:right="851" w:bottom="851" w:left="709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409020205020404"/>
  </w:font>
  <w:font w:name="Garamond">
    <w:panose1 w:val="02010603020201000205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503050406030204"/>
  </w:font>
  <w:font w:name="Liberation Mono">
    <w:panose1 w:val="02070409020205020404"/>
  </w:font>
  <w:font w:name="Batang">
    <w:panose1 w:val="02000506000000020000"/>
  </w:font>
  <w:font w:name="Calibri">
    <w:panose1 w:val="020F0502020204030204"/>
  </w:font>
  <w:font w:name="Wingdings">
    <w:panose1 w:val="05010000000000000000"/>
  </w:font>
  <w:font w:name="Noto Serif CJK SC">
    <w:panose1 w:val="02020400000000000000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0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7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0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000000"/>
                      </a:lnRef>
                      <a:fillRef idx="0">
                        <a:srgbClr val="000000"/>
                      </a:fillRef>
                      <a:effectRef idx="0">
                        <a:srgbClr val="000000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970"/>
                            <w:rPr>
                              <w:rStyle w:val="91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914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914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914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914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914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914"/>
                            </w:rPr>
                          </w:r>
                          <w:r>
                            <w:rPr>
                              <w:rStyle w:val="914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970"/>
                      <w:rPr>
                        <w:rStyle w:val="91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Style w:val="914"/>
                        <w:color w:val="000000"/>
                      </w:rPr>
                      <w:fldChar w:fldCharType="begin"/>
                    </w:r>
                    <w:r>
                      <w:rPr>
                        <w:rStyle w:val="914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914"/>
                        <w:color w:val="000000"/>
                      </w:rPr>
                      <w:fldChar w:fldCharType="separate"/>
                    </w:r>
                    <w:r>
                      <w:rPr>
                        <w:rStyle w:val="914"/>
                        <w:color w:val="000000"/>
                      </w:rPr>
                      <w:t xml:space="preserve">0</w:t>
                    </w:r>
                    <w:r>
                      <w:rPr>
                        <w:rStyle w:val="914"/>
                        <w:color w:val="000000"/>
                      </w:rPr>
                      <w:fldChar w:fldCharType="end"/>
                    </w:r>
                    <w:r>
                      <w:rPr>
                        <w:rStyle w:val="914"/>
                      </w:rPr>
                    </w:r>
                    <w:r>
                      <w:rPr>
                        <w:rStyle w:val="914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0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0"/>
        <w:tabs>
          <w:tab w:val="num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">
    <w:multiLevelType w:val="hybridMultilevel"/>
    <w:lvl w:ilvl="0">
      <w:start w:val="1"/>
      <w:numFmt w:val="decimal"/>
      <w:pStyle w:val="756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57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758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pStyle w:val="96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963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4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1013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1014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1017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1015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1016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1020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7">
    <w:multiLevelType w:val="hybridMultilevel"/>
    <w:lvl w:ilvl="0">
      <w:start w:val="4"/>
      <w:numFmt w:val="bullet"/>
      <w:pStyle w:val="1003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1004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1002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65" w:hanging="360"/>
      </w:pPr>
      <w:rPr>
        <w:sz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25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65" w:hanging="360"/>
      </w:pPr>
      <w:rPr>
        <w:rFonts w:ascii="Times New Roman" w:hAnsi="Times New Roman" w:eastAsia="Times New Roman" w:cs="Times New Roman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25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oto Serif CJK SC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4">
    <w:name w:val="Caption Char"/>
    <w:basedOn w:val="765"/>
    <w:link w:val="958"/>
    <w:uiPriority w:val="35"/>
    <w:rPr>
      <w:b/>
      <w:bCs/>
      <w:color w:val="4f81bd" w:themeColor="accent1"/>
      <w:sz w:val="18"/>
      <w:szCs w:val="18"/>
    </w:rPr>
  </w:style>
  <w:style w:type="paragraph" w:styleId="755" w:default="1">
    <w:name w:val="Normal"/>
    <w:qFormat/>
    <w:rPr>
      <w:sz w:val="28"/>
      <w:szCs w:val="28"/>
    </w:rPr>
  </w:style>
  <w:style w:type="paragraph" w:styleId="756">
    <w:name w:val="Heading 1"/>
    <w:basedOn w:val="758"/>
    <w:qFormat/>
    <w:pPr>
      <w:numPr>
        <w:ilvl w:val="0"/>
      </w:numPr>
      <w:outlineLvl w:val="0"/>
    </w:pPr>
    <w:rPr>
      <w:sz w:val="28"/>
      <w:szCs w:val="28"/>
    </w:rPr>
  </w:style>
  <w:style w:type="paragraph" w:styleId="757">
    <w:name w:val="Heading 2"/>
    <w:basedOn w:val="759"/>
    <w:qFormat/>
    <w:pPr>
      <w:outlineLvl w:val="1"/>
    </w:pPr>
  </w:style>
  <w:style w:type="paragraph" w:styleId="758">
    <w:name w:val="Heading 3"/>
    <w:basedOn w:val="755"/>
    <w:qFormat/>
    <w:pPr>
      <w:numPr>
        <w:ilvl w:val="2"/>
        <w:numId w:val="3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59">
    <w:name w:val="Heading 4"/>
    <w:basedOn w:val="758"/>
    <w:qFormat/>
    <w:pPr>
      <w:numPr>
        <w:ilvl w:val="0"/>
        <w:numId w:val="0"/>
      </w:numPr>
      <w:ind w:left="432" w:hanging="432"/>
      <w:tabs>
        <w:tab w:val="num" w:pos="0" w:leader="none"/>
      </w:tabs>
      <w:outlineLvl w:val="3"/>
    </w:pPr>
    <w:rPr>
      <w:bCs/>
    </w:rPr>
  </w:style>
  <w:style w:type="paragraph" w:styleId="760">
    <w:name w:val="Heading 5"/>
    <w:basedOn w:val="75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61">
    <w:name w:val="Heading 6"/>
    <w:basedOn w:val="755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62">
    <w:name w:val="Heading 7"/>
    <w:basedOn w:val="755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63">
    <w:name w:val="Heading 8"/>
    <w:basedOn w:val="755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64">
    <w:name w:val="Heading 9"/>
    <w:basedOn w:val="75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65" w:default="1">
    <w:name w:val="Default Paragraph Font"/>
    <w:uiPriority w:val="1"/>
    <w:semiHidden/>
    <w:unhideWhenUsed/>
  </w:style>
  <w:style w:type="table" w:styleId="76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7" w:default="1">
    <w:name w:val="No List"/>
    <w:uiPriority w:val="99"/>
    <w:semiHidden/>
    <w:unhideWhenUsed/>
  </w:style>
  <w:style w:type="table" w:styleId="768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9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0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3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5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7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98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99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0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1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02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3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0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1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7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38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0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472C4" w:themeColor="accent1" w:sz="4" w:space="0"/>
        <w:bottom w:val="single" w:color="4472C4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61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2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3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4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4" w:space="0"/>
        <w:bottom w:val="single" w:color="9BC2E5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65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6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472C4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BC2E5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4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75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6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7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8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79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0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1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82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3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4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5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6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7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8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89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0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1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2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93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4" w:customStyle="1">
    <w:name w:val="Heading 1 Char"/>
    <w:basedOn w:val="765"/>
    <w:uiPriority w:val="9"/>
    <w:qFormat/>
    <w:rPr>
      <w:rFonts w:ascii="Arial" w:hAnsi="Arial" w:eastAsia="Arial" w:cs="Arial"/>
      <w:sz w:val="40"/>
      <w:szCs w:val="40"/>
    </w:rPr>
  </w:style>
  <w:style w:type="character" w:styleId="895" w:customStyle="1">
    <w:name w:val="Heading 2 Char"/>
    <w:basedOn w:val="765"/>
    <w:uiPriority w:val="9"/>
    <w:qFormat/>
    <w:rPr>
      <w:rFonts w:ascii="Arial" w:hAnsi="Arial" w:eastAsia="Arial" w:cs="Arial"/>
      <w:sz w:val="34"/>
    </w:rPr>
  </w:style>
  <w:style w:type="character" w:styleId="896" w:customStyle="1">
    <w:name w:val="Heading 3 Char"/>
    <w:basedOn w:val="765"/>
    <w:uiPriority w:val="9"/>
    <w:qFormat/>
    <w:rPr>
      <w:rFonts w:ascii="Arial" w:hAnsi="Arial" w:eastAsia="Arial" w:cs="Arial"/>
      <w:sz w:val="30"/>
      <w:szCs w:val="30"/>
    </w:rPr>
  </w:style>
  <w:style w:type="character" w:styleId="897" w:customStyle="1">
    <w:name w:val="Heading 4 Char"/>
    <w:basedOn w:val="765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98" w:customStyle="1">
    <w:name w:val="Heading 5 Char"/>
    <w:basedOn w:val="76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99" w:customStyle="1">
    <w:name w:val="Heading 6 Char"/>
    <w:basedOn w:val="76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00" w:customStyle="1">
    <w:name w:val="Heading 7 Char"/>
    <w:basedOn w:val="76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901" w:customStyle="1">
    <w:name w:val="Heading 8 Char"/>
    <w:basedOn w:val="76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02" w:customStyle="1">
    <w:name w:val="Heading 9 Char"/>
    <w:basedOn w:val="76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903" w:customStyle="1">
    <w:name w:val="Title Char"/>
    <w:basedOn w:val="765"/>
    <w:uiPriority w:val="10"/>
    <w:qFormat/>
    <w:rPr>
      <w:sz w:val="48"/>
      <w:szCs w:val="48"/>
    </w:rPr>
  </w:style>
  <w:style w:type="character" w:styleId="904" w:customStyle="1">
    <w:name w:val="Subtitle Char"/>
    <w:basedOn w:val="765"/>
    <w:uiPriority w:val="11"/>
    <w:qFormat/>
    <w:rPr>
      <w:sz w:val="24"/>
      <w:szCs w:val="24"/>
    </w:rPr>
  </w:style>
  <w:style w:type="character" w:styleId="905" w:customStyle="1">
    <w:name w:val="Quote Char"/>
    <w:uiPriority w:val="29"/>
    <w:qFormat/>
    <w:rPr>
      <w:i/>
    </w:rPr>
  </w:style>
  <w:style w:type="character" w:styleId="906" w:customStyle="1">
    <w:name w:val="Intense Quote Char"/>
    <w:uiPriority w:val="30"/>
    <w:qFormat/>
    <w:rPr>
      <w:i/>
    </w:rPr>
  </w:style>
  <w:style w:type="character" w:styleId="907" w:customStyle="1">
    <w:name w:val="Header Char"/>
    <w:basedOn w:val="765"/>
    <w:uiPriority w:val="99"/>
    <w:qFormat/>
  </w:style>
  <w:style w:type="character" w:styleId="908" w:customStyle="1">
    <w:name w:val="Footer Char"/>
    <w:basedOn w:val="765"/>
    <w:uiPriority w:val="99"/>
    <w:qFormat/>
  </w:style>
  <w:style w:type="character" w:styleId="909" w:customStyle="1">
    <w:name w:val="Название объекта Знак"/>
    <w:link w:val="958"/>
    <w:uiPriority w:val="99"/>
    <w:qFormat/>
  </w:style>
  <w:style w:type="character" w:styleId="910" w:customStyle="1">
    <w:name w:val="Footnote Text Char"/>
    <w:uiPriority w:val="99"/>
    <w:qFormat/>
    <w:rPr>
      <w:sz w:val="18"/>
    </w:rPr>
  </w:style>
  <w:style w:type="character" w:styleId="911" w:customStyle="1">
    <w:name w:val="Endnote Text Char"/>
    <w:uiPriority w:val="99"/>
    <w:qFormat/>
    <w:rPr>
      <w:sz w:val="20"/>
    </w:rPr>
  </w:style>
  <w:style w:type="character" w:styleId="912" w:customStyle="1">
    <w:name w:val="Символ сноски"/>
    <w:qFormat/>
    <w:rPr>
      <w:vertAlign w:val="superscript"/>
    </w:rPr>
  </w:style>
  <w:style w:type="character" w:styleId="913">
    <w:name w:val="footnote reference"/>
    <w:rPr>
      <w:vertAlign w:val="superscript"/>
    </w:rPr>
  </w:style>
  <w:style w:type="character" w:styleId="914">
    <w:name w:val="page number"/>
    <w:basedOn w:val="765"/>
    <w:qFormat/>
  </w:style>
  <w:style w:type="character" w:styleId="915">
    <w:name w:val="Hyperlink"/>
    <w:uiPriority w:val="99"/>
    <w:rPr>
      <w:color w:val="0000ff"/>
      <w:u w:val="single"/>
    </w:rPr>
  </w:style>
  <w:style w:type="character" w:styleId="916">
    <w:name w:val="annotation reference"/>
    <w:uiPriority w:val="99"/>
    <w:semiHidden/>
    <w:qFormat/>
    <w:rPr>
      <w:sz w:val="16"/>
      <w:szCs w:val="16"/>
    </w:rPr>
  </w:style>
  <w:style w:type="character" w:styleId="917">
    <w:name w:val="Strong"/>
    <w:qFormat/>
    <w:rPr>
      <w:b/>
      <w:bCs/>
    </w:rPr>
  </w:style>
  <w:style w:type="character" w:styleId="918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919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920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921" w:customStyle="1">
    <w:name w:val="Заголовок 1 Знак"/>
    <w:qFormat/>
    <w:rPr>
      <w:rFonts w:eastAsia="Calibri"/>
      <w:b/>
      <w:sz w:val="28"/>
      <w:szCs w:val="28"/>
    </w:rPr>
  </w:style>
  <w:style w:type="character" w:styleId="92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923" w:customStyle="1">
    <w:name w:val="Заголовок 3 Знак"/>
    <w:qFormat/>
    <w:rPr>
      <w:rFonts w:eastAsia="Calibri"/>
      <w:b/>
      <w:sz w:val="24"/>
      <w:szCs w:val="24"/>
    </w:rPr>
  </w:style>
  <w:style w:type="character" w:styleId="92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92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26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927" w:customStyle="1">
    <w:name w:val="Название Знак"/>
    <w:uiPriority w:val="10"/>
    <w:qFormat/>
    <w:rPr>
      <w:sz w:val="28"/>
    </w:rPr>
  </w:style>
  <w:style w:type="character" w:styleId="928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929">
    <w:name w:val="Emphasis"/>
    <w:uiPriority w:val="20"/>
    <w:qFormat/>
    <w:rPr>
      <w:i/>
      <w:iCs/>
    </w:rPr>
  </w:style>
  <w:style w:type="character" w:styleId="930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931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932">
    <w:name w:val="Subtle Emphasis"/>
    <w:uiPriority w:val="19"/>
    <w:qFormat/>
    <w:rPr>
      <w:i/>
      <w:iCs/>
      <w:color w:val="808080"/>
    </w:rPr>
  </w:style>
  <w:style w:type="character" w:styleId="933">
    <w:name w:val="Intense Emphasis"/>
    <w:uiPriority w:val="21"/>
    <w:qFormat/>
    <w:rPr>
      <w:b/>
      <w:bCs/>
      <w:i/>
      <w:iCs/>
      <w:color w:val="4f81bd"/>
    </w:rPr>
  </w:style>
  <w:style w:type="character" w:styleId="934">
    <w:name w:val="Subtle Reference"/>
    <w:uiPriority w:val="31"/>
    <w:qFormat/>
    <w:rPr>
      <w:smallCaps/>
      <w:color w:val="c0504d"/>
      <w:u w:val="single"/>
    </w:rPr>
  </w:style>
  <w:style w:type="character" w:styleId="935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36">
    <w:name w:val="Book Title"/>
    <w:uiPriority w:val="33"/>
    <w:qFormat/>
    <w:rPr>
      <w:b/>
      <w:bCs/>
      <w:smallCaps/>
      <w:spacing w:val="5"/>
    </w:rPr>
  </w:style>
  <w:style w:type="character" w:styleId="937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938" w:customStyle="1">
    <w:name w:val="Подпункт Знак1"/>
    <w:qFormat/>
    <w:rPr>
      <w:sz w:val="28"/>
    </w:rPr>
  </w:style>
  <w:style w:type="character" w:styleId="939" w:customStyle="1">
    <w:name w:val="Текст сноски Знак"/>
    <w:uiPriority w:val="99"/>
    <w:qFormat/>
  </w:style>
  <w:style w:type="character" w:styleId="940" w:customStyle="1">
    <w:name w:val="Основной текст Знак"/>
    <w:qFormat/>
    <w:rPr>
      <w:sz w:val="28"/>
      <w:szCs w:val="28"/>
    </w:rPr>
  </w:style>
  <w:style w:type="character" w:styleId="941" w:customStyle="1">
    <w:name w:val="blk"/>
    <w:qFormat/>
  </w:style>
  <w:style w:type="character" w:styleId="942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943" w:customStyle="1">
    <w:name w:val="комментарий"/>
    <w:qFormat/>
    <w:rPr>
      <w:b/>
      <w:i/>
      <w:shd w:val="clear" w:color="auto" w:fill="ffff99"/>
    </w:rPr>
  </w:style>
  <w:style w:type="character" w:styleId="944" w:customStyle="1">
    <w:name w:val="Подподпункт Знак"/>
    <w:qFormat/>
    <w:rPr>
      <w:sz w:val="26"/>
      <w:szCs w:val="26"/>
    </w:rPr>
  </w:style>
  <w:style w:type="character" w:styleId="945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946" w:customStyle="1">
    <w:name w:val="Верхний колонтитул Знак"/>
    <w:uiPriority w:val="99"/>
    <w:qFormat/>
    <w:rPr>
      <w:sz w:val="24"/>
      <w:szCs w:val="24"/>
    </w:rPr>
  </w:style>
  <w:style w:type="character" w:styleId="947" w:customStyle="1">
    <w:name w:val="Текст примечания Знак"/>
    <w:semiHidden/>
    <w:qFormat/>
  </w:style>
  <w:style w:type="character" w:styleId="948" w:customStyle="1">
    <w:name w:val="Текст концевой сноски Знак"/>
    <w:basedOn w:val="765"/>
    <w:qFormat/>
  </w:style>
  <w:style w:type="character" w:styleId="949" w:customStyle="1">
    <w:name w:val="Символ концевой сноски"/>
    <w:qFormat/>
    <w:rPr>
      <w:vertAlign w:val="superscript"/>
    </w:rPr>
  </w:style>
  <w:style w:type="character" w:styleId="950">
    <w:name w:val="endnote reference"/>
    <w:rPr>
      <w:vertAlign w:val="superscript"/>
    </w:rPr>
  </w:style>
  <w:style w:type="character" w:styleId="951" w:customStyle="1">
    <w:name w:val="Пункт2 Знак"/>
    <w:qFormat/>
    <w:rPr>
      <w:b/>
      <w:sz w:val="28"/>
    </w:rPr>
  </w:style>
  <w:style w:type="character" w:styleId="952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953" w:customStyle="1">
    <w:name w:val="Неразрешенное упоминание1"/>
    <w:basedOn w:val="765"/>
    <w:uiPriority w:val="99"/>
    <w:semiHidden/>
    <w:unhideWhenUsed/>
    <w:qFormat/>
    <w:rPr>
      <w:color w:val="605e5c"/>
      <w:shd w:val="clear" w:color="auto" w:fill="e1dfdd"/>
    </w:rPr>
  </w:style>
  <w:style w:type="character" w:styleId="954" w:customStyle="1">
    <w:name w:val="Основной текст с отступом 3 Знак"/>
    <w:qFormat/>
    <w:rPr>
      <w:sz w:val="16"/>
      <w:szCs w:val="16"/>
    </w:rPr>
  </w:style>
  <w:style w:type="paragraph" w:styleId="955">
    <w:name w:val="Title"/>
    <w:basedOn w:val="755"/>
    <w:next w:val="956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56">
    <w:name w:val="Body Text"/>
    <w:basedOn w:val="755"/>
    <w:pPr>
      <w:spacing w:after="120"/>
    </w:pPr>
  </w:style>
  <w:style w:type="paragraph" w:styleId="957">
    <w:name w:val="List"/>
    <w:basedOn w:val="956"/>
  </w:style>
  <w:style w:type="paragraph" w:styleId="958">
    <w:name w:val="Caption"/>
    <w:basedOn w:val="755"/>
    <w:link w:val="909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959">
    <w:name w:val="index heading"/>
    <w:basedOn w:val="955"/>
  </w:style>
  <w:style w:type="paragraph" w:styleId="960">
    <w:name w:val="table of figures"/>
    <w:basedOn w:val="755"/>
    <w:uiPriority w:val="99"/>
    <w:unhideWhenUsed/>
    <w:qFormat/>
  </w:style>
  <w:style w:type="paragraph" w:styleId="961" w:customStyle="1">
    <w:name w:val="Название раздела инструкции"/>
    <w:basedOn w:val="755"/>
    <w:qFormat/>
    <w:pPr>
      <w:jc w:val="center"/>
    </w:pPr>
    <w:rPr>
      <w:b/>
    </w:rPr>
  </w:style>
  <w:style w:type="paragraph" w:styleId="962" w:customStyle="1">
    <w:name w:val="Раздел положения"/>
    <w:basedOn w:val="755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63" w:customStyle="1">
    <w:name w:val="Подраздел раздела положения"/>
    <w:basedOn w:val="755"/>
    <w:qFormat/>
    <w:pPr>
      <w:numPr>
        <w:ilvl w:val="1"/>
        <w:numId w:val="1"/>
      </w:numPr>
      <w:jc w:val="both"/>
      <w:spacing w:before="80" w:after="80"/>
    </w:pPr>
  </w:style>
  <w:style w:type="paragraph" w:styleId="964">
    <w:name w:val="footnote text"/>
    <w:basedOn w:val="755"/>
    <w:uiPriority w:val="99"/>
    <w:rPr>
      <w:sz w:val="20"/>
      <w:szCs w:val="20"/>
    </w:rPr>
  </w:style>
  <w:style w:type="paragraph" w:styleId="965" w:customStyle="1">
    <w:name w:val="Шапка 1"/>
    <w:basedOn w:val="755"/>
    <w:qFormat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66" w:customStyle="1">
    <w:name w:val="Шапка 2"/>
    <w:basedOn w:val="755"/>
    <w:qFormat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67" w:customStyle="1">
    <w:name w:val="Шапка 3"/>
    <w:basedOn w:val="755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68" w:customStyle="1">
    <w:name w:val="Название1"/>
    <w:basedOn w:val="755"/>
    <w:uiPriority w:val="10"/>
    <w:qFormat/>
    <w:pPr>
      <w:jc w:val="center"/>
    </w:pPr>
    <w:rPr>
      <w:szCs w:val="20"/>
    </w:rPr>
  </w:style>
  <w:style w:type="paragraph" w:styleId="969" w:customStyle="1">
    <w:name w:val="Колонтитул"/>
    <w:basedOn w:val="755"/>
    <w:qFormat/>
  </w:style>
  <w:style w:type="paragraph" w:styleId="970">
    <w:name w:val="Header"/>
    <w:basedOn w:val="755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71">
    <w:name w:val="Body Text Indent"/>
    <w:basedOn w:val="755"/>
    <w:pPr>
      <w:ind w:left="360"/>
    </w:pPr>
    <w:rPr>
      <w:sz w:val="24"/>
      <w:szCs w:val="24"/>
    </w:rPr>
  </w:style>
  <w:style w:type="paragraph" w:styleId="972">
    <w:name w:val="Footer"/>
    <w:basedOn w:val="755"/>
    <w:pPr>
      <w:tabs>
        <w:tab w:val="center" w:pos="4677" w:leader="none"/>
        <w:tab w:val="right" w:pos="9355" w:leader="none"/>
      </w:tabs>
    </w:pPr>
  </w:style>
  <w:style w:type="paragraph" w:styleId="973">
    <w:name w:val="Body Text Indent 2"/>
    <w:basedOn w:val="755"/>
    <w:qFormat/>
    <w:pPr>
      <w:ind w:left="283"/>
      <w:spacing w:after="120" w:line="480" w:lineRule="auto"/>
    </w:pPr>
  </w:style>
  <w:style w:type="paragraph" w:styleId="974">
    <w:name w:val="Body Text 3"/>
    <w:basedOn w:val="755"/>
    <w:qFormat/>
    <w:pPr>
      <w:spacing w:after="120"/>
    </w:pPr>
    <w:rPr>
      <w:sz w:val="16"/>
      <w:szCs w:val="16"/>
    </w:rPr>
  </w:style>
  <w:style w:type="paragraph" w:styleId="975">
    <w:name w:val="Body Text Indent 3"/>
    <w:basedOn w:val="755"/>
    <w:qFormat/>
    <w:pPr>
      <w:ind w:left="283"/>
      <w:spacing w:after="120"/>
    </w:pPr>
    <w:rPr>
      <w:sz w:val="16"/>
      <w:szCs w:val="16"/>
    </w:rPr>
  </w:style>
  <w:style w:type="paragraph" w:styleId="976">
    <w:name w:val="Body Text 2"/>
    <w:basedOn w:val="755"/>
    <w:qFormat/>
    <w:pPr>
      <w:spacing w:after="120" w:line="480" w:lineRule="auto"/>
    </w:pPr>
  </w:style>
  <w:style w:type="paragraph" w:styleId="977">
    <w:name w:val="Block Text"/>
    <w:basedOn w:val="755"/>
    <w:qFormat/>
    <w:pPr>
      <w:ind w:left="-567" w:right="-766"/>
      <w:jc w:val="center"/>
    </w:pPr>
    <w:rPr>
      <w:b/>
      <w:bCs/>
      <w:sz w:val="24"/>
      <w:szCs w:val="20"/>
    </w:rPr>
  </w:style>
  <w:style w:type="paragraph" w:styleId="978" w:customStyle="1">
    <w:name w:val="Подпункт"/>
    <w:basedOn w:val="755"/>
    <w:qFormat/>
    <w:pPr>
      <w:ind w:left="1134" w:hanging="1134"/>
      <w:jc w:val="both"/>
      <w:spacing w:line="360" w:lineRule="auto"/>
      <w:tabs>
        <w:tab w:val="left" w:pos="1134" w:leader="none"/>
      </w:tabs>
    </w:pPr>
    <w:rPr>
      <w:szCs w:val="20"/>
    </w:rPr>
  </w:style>
  <w:style w:type="paragraph" w:styleId="979" w:customStyle="1">
    <w:name w:val="Пункт2"/>
    <w:basedOn w:val="755"/>
    <w:qFormat/>
    <w:pPr>
      <w:ind w:left="1134" w:hanging="1134"/>
      <w:keepNext/>
      <w:spacing w:before="240" w:after="120"/>
      <w:tabs>
        <w:tab w:val="left" w:pos="1134" w:leader="none"/>
      </w:tabs>
      <w:outlineLvl w:val="2"/>
    </w:pPr>
    <w:rPr>
      <w:b/>
      <w:szCs w:val="20"/>
    </w:rPr>
  </w:style>
  <w:style w:type="paragraph" w:styleId="980">
    <w:name w:val="toc 1"/>
    <w:basedOn w:val="755"/>
    <w:uiPriority w:val="39"/>
    <w:pPr>
      <w:spacing w:before="120"/>
      <w:tabs>
        <w:tab w:val="left" w:pos="560" w:leader="none"/>
        <w:tab w:val="right" w:pos="9923" w:leader="dot"/>
      </w:tabs>
    </w:pPr>
    <w:rPr>
      <w:rFonts w:cs="Calibri Light (Заголовки)"/>
      <w:b/>
      <w:bCs/>
      <w:sz w:val="24"/>
      <w:szCs w:val="24"/>
    </w:rPr>
  </w:style>
  <w:style w:type="paragraph" w:styleId="981">
    <w:name w:val="toc 3"/>
    <w:basedOn w:val="755"/>
    <w:uiPriority w:val="39"/>
    <w:pPr>
      <w:ind w:left="280"/>
    </w:pPr>
    <w:rPr>
      <w:rFonts w:cstheme="minorHAnsi"/>
      <w:sz w:val="20"/>
      <w:szCs w:val="20"/>
    </w:rPr>
  </w:style>
  <w:style w:type="paragraph" w:styleId="982" w:customStyle="1">
    <w:name w:val="Раздел регламента"/>
    <w:basedOn w:val="755"/>
    <w:qFormat/>
  </w:style>
  <w:style w:type="paragraph" w:styleId="983" w:customStyle="1">
    <w:name w:val="Приложение к регламенту"/>
    <w:basedOn w:val="755"/>
    <w:qFormat/>
    <w:pPr>
      <w:jc w:val="right"/>
    </w:pPr>
  </w:style>
  <w:style w:type="paragraph" w:styleId="984">
    <w:name w:val="toc 2"/>
    <w:basedOn w:val="755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85">
    <w:name w:val="Balloon Text"/>
    <w:basedOn w:val="755"/>
    <w:semiHidden/>
    <w:qFormat/>
    <w:rPr>
      <w:rFonts w:ascii="Tahoma" w:hAnsi="Tahoma" w:cs="Tahoma"/>
      <w:sz w:val="16"/>
      <w:szCs w:val="16"/>
    </w:rPr>
  </w:style>
  <w:style w:type="paragraph" w:styleId="986">
    <w:name w:val="annotation text"/>
    <w:basedOn w:val="755"/>
    <w:semiHidden/>
    <w:qFormat/>
    <w:rPr>
      <w:sz w:val="20"/>
      <w:szCs w:val="20"/>
    </w:rPr>
  </w:style>
  <w:style w:type="paragraph" w:styleId="987">
    <w:name w:val="annotation subject"/>
    <w:basedOn w:val="986"/>
    <w:semiHidden/>
    <w:qFormat/>
    <w:rPr>
      <w:b/>
      <w:bCs/>
    </w:rPr>
  </w:style>
  <w:style w:type="paragraph" w:styleId="988" w:customStyle="1">
    <w:name w:val="Обычный (веб)1"/>
    <w:basedOn w:val="755"/>
    <w:uiPriority w:val="99"/>
    <w:qFormat/>
    <w:pPr>
      <w:spacing w:beforeAutospacing="1" w:afterAutospacing="1"/>
    </w:pPr>
    <w:rPr>
      <w:rFonts w:ascii="Arial Unicode MS" w:hAnsi="Arial Unicode MS" w:eastAsia="Arial Unicode MS"/>
      <w:sz w:val="24"/>
      <w:szCs w:val="24"/>
    </w:rPr>
  </w:style>
  <w:style w:type="paragraph" w:styleId="989">
    <w:name w:val="toc 9"/>
    <w:basedOn w:val="755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90">
    <w:name w:val="toc 5"/>
    <w:basedOn w:val="755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91">
    <w:name w:val="toc 4"/>
    <w:basedOn w:val="755"/>
    <w:uiPriority w:val="39"/>
    <w:pPr>
      <w:ind w:left="560"/>
    </w:pPr>
    <w:rPr>
      <w:rFonts w:cstheme="minorHAnsi"/>
      <w:sz w:val="20"/>
      <w:szCs w:val="20"/>
    </w:rPr>
  </w:style>
  <w:style w:type="paragraph" w:styleId="992" w:customStyle="1">
    <w:name w:val="Раздел положения 2"/>
    <w:basedOn w:val="755"/>
    <w:qFormat/>
    <w:pPr>
      <w:jc w:val="both"/>
      <w:pageBreakBefore/>
      <w:outlineLvl w:val="0"/>
    </w:pPr>
    <w:rPr>
      <w:b/>
    </w:rPr>
  </w:style>
  <w:style w:type="paragraph" w:styleId="993" w:customStyle="1">
    <w:name w:val="Знак Знак Знак Знак Знак Знак Знак Знак Знак"/>
    <w:basedOn w:val="755"/>
    <w:qFormat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94">
    <w:name w:val="No Spacing"/>
    <w:basedOn w:val="755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95">
    <w:name w:val="Subtitle"/>
    <w:basedOn w:val="755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996">
    <w:name w:val="List Paragraph"/>
    <w:basedOn w:val="755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97">
    <w:name w:val="Quote"/>
    <w:basedOn w:val="755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998">
    <w:name w:val="Intense Quote"/>
    <w:basedOn w:val="755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999">
    <w:name w:val="TOC Heading"/>
    <w:basedOn w:val="756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00">
    <w:name w:val="E-mail Signature"/>
    <w:basedOn w:val="755"/>
    <w:uiPriority w:val="99"/>
    <w:unhideWhenUsed/>
    <w:qFormat/>
    <w:rPr>
      <w:rFonts w:eastAsia="Calibri"/>
      <w:sz w:val="24"/>
      <w:szCs w:val="24"/>
    </w:rPr>
  </w:style>
  <w:style w:type="paragraph" w:styleId="1001" w:customStyle="1">
    <w:name w:val="Знак"/>
    <w:basedOn w:val="755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2" w:customStyle="1">
    <w:name w:val="Нумерованный список ур3"/>
    <w:basedOn w:val="755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03" w:customStyle="1">
    <w:name w:val="Маркированный список 41"/>
    <w:basedOn w:val="755"/>
    <w:qFormat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04" w:customStyle="1">
    <w:name w:val="Нумерованный список ур2"/>
    <w:basedOn w:val="755"/>
    <w:qFormat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05">
    <w:name w:val="Revision"/>
    <w:uiPriority w:val="99"/>
    <w:semiHidden/>
    <w:qFormat/>
    <w:rPr>
      <w:rFonts w:eastAsia="Calibri"/>
      <w:sz w:val="24"/>
      <w:szCs w:val="24"/>
    </w:rPr>
  </w:style>
  <w:style w:type="paragraph" w:styleId="1006" w:customStyle="1">
    <w:name w:val="ConsPlusNormal"/>
    <w:qFormat/>
    <w:pPr>
      <w:ind w:firstLine="720"/>
      <w:widowControl w:val="off"/>
    </w:pPr>
    <w:rPr>
      <w:rFonts w:ascii="Arial" w:hAnsi="Arial" w:cs="Arial"/>
    </w:rPr>
  </w:style>
  <w:style w:type="paragraph" w:styleId="1007" w:customStyle="1">
    <w:name w:val="Знак Знак3 Знак Знак"/>
    <w:basedOn w:val="755"/>
    <w:qFormat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08" w:customStyle="1">
    <w:name w:val="Пункт"/>
    <w:basedOn w:val="755"/>
    <w:qFormat/>
    <w:pPr>
      <w:ind w:left="1134" w:right="800" w:hanging="1134"/>
      <w:jc w:val="both"/>
      <w:spacing w:before="120" w:line="360" w:lineRule="auto"/>
      <w:widowControl w:val="off"/>
      <w:tabs>
        <w:tab w:val="left" w:pos="1134" w:leader="none"/>
      </w:tabs>
    </w:pPr>
    <w:rPr>
      <w:rFonts w:ascii="Arial" w:hAnsi="Arial"/>
      <w:b/>
      <w:i/>
      <w:szCs w:val="20"/>
    </w:rPr>
  </w:style>
  <w:style w:type="paragraph" w:styleId="1009" w:customStyle="1">
    <w:name w:val="Абзац списка1"/>
    <w:basedOn w:val="755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010" w:customStyle="1">
    <w:name w:val="Таблица"/>
    <w:basedOn w:val="755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1011" w:customStyle="1">
    <w:name w:val="Таблица шапка"/>
    <w:basedOn w:val="755"/>
    <w:qFormat/>
    <w:pPr>
      <w:ind w:left="57" w:right="57"/>
      <w:keepNext/>
      <w:spacing w:before="40" w:after="40"/>
    </w:pPr>
    <w:rPr>
      <w:sz w:val="22"/>
      <w:szCs w:val="26"/>
    </w:rPr>
  </w:style>
  <w:style w:type="paragraph" w:styleId="1012" w:customStyle="1">
    <w:name w:val="Подподпункт"/>
    <w:basedOn w:val="978"/>
    <w:qFormat/>
    <w:pPr>
      <w:ind w:left="5104" w:hanging="567"/>
      <w:spacing w:before="12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1013" w:customStyle="1">
    <w:name w:val="УРОВЕНЬ_(а)"/>
    <w:basedOn w:val="996"/>
    <w:qFormat/>
    <w:pPr>
      <w:numPr>
        <w:ilvl w:val="3"/>
        <w:numId w:val="4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14" w:customStyle="1">
    <w:name w:val="УРОВЕНЬ_-"/>
    <w:basedOn w:val="996"/>
    <w:qFormat/>
    <w:pPr>
      <w:numPr>
        <w:ilvl w:val="4"/>
        <w:numId w:val="4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15" w:customStyle="1">
    <w:name w:val="УРОВЕНЬ_Абзац_тип2"/>
    <w:basedOn w:val="996"/>
    <w:qFormat/>
    <w:pPr>
      <w:numPr>
        <w:ilvl w:val="6"/>
        <w:numId w:val="4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16" w:customStyle="1">
    <w:name w:val="УРОВЕНЬ_Абзац_тип3"/>
    <w:basedOn w:val="996"/>
    <w:qFormat/>
    <w:pPr>
      <w:numPr>
        <w:ilvl w:val="7"/>
        <w:numId w:val="4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17" w:customStyle="1">
    <w:name w:val="УРОВЕНЬ_Подпись"/>
    <w:basedOn w:val="996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1018" w:customStyle="1">
    <w:name w:val="Стиль Заголовок 1 + по ширине"/>
    <w:basedOn w:val="756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19">
    <w:name w:val="endnote text"/>
    <w:basedOn w:val="755"/>
    <w:rPr>
      <w:sz w:val="20"/>
      <w:szCs w:val="20"/>
    </w:rPr>
  </w:style>
  <w:style w:type="paragraph" w:styleId="1020" w:customStyle="1">
    <w:name w:val="Заголовок 2 КВВ"/>
    <w:basedOn w:val="755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1021" w:customStyle="1">
    <w:name w:val="Таблица текст"/>
    <w:basedOn w:val="755"/>
    <w:qFormat/>
    <w:pPr>
      <w:ind w:left="57" w:right="57"/>
      <w:spacing w:before="40" w:after="40"/>
    </w:pPr>
    <w:rPr>
      <w:sz w:val="24"/>
      <w:szCs w:val="26"/>
    </w:rPr>
  </w:style>
  <w:style w:type="paragraph" w:styleId="1022">
    <w:name w:val="Normal (Web)"/>
    <w:basedOn w:val="755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023" w:customStyle="1">
    <w:name w:val="УРОВЕНЬ_1."/>
    <w:basedOn w:val="996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1024">
    <w:name w:val="toc 6"/>
    <w:basedOn w:val="755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25">
    <w:name w:val="toc 7"/>
    <w:basedOn w:val="755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26">
    <w:name w:val="toc 8"/>
    <w:basedOn w:val="755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1027" w:customStyle="1">
    <w:name w:val="ConsNonformat"/>
    <w:qFormat/>
    <w:rPr>
      <w:rFonts w:ascii="Courier New" w:hAnsi="Courier New" w:cs="Courier New"/>
    </w:rPr>
  </w:style>
  <w:style w:type="paragraph" w:styleId="1028" w:customStyle="1">
    <w:name w:val="ConsNormal"/>
    <w:qFormat/>
    <w:pPr>
      <w:ind w:firstLine="720"/>
    </w:pPr>
    <w:rPr>
      <w:rFonts w:ascii="Arial" w:hAnsi="Arial" w:eastAsia="Times New Roman" w:cs="Arial"/>
      <w:sz w:val="24"/>
      <w:szCs w:val="24"/>
    </w:rPr>
  </w:style>
  <w:style w:type="paragraph" w:styleId="1029" w:customStyle="1">
    <w:name w:val="Main 14"/>
    <w:uiPriority w:val="99"/>
    <w:qFormat/>
    <w:pPr>
      <w:ind w:firstLine="709"/>
      <w:jc w:val="both"/>
      <w:spacing w:before="60" w:line="312" w:lineRule="auto"/>
    </w:pPr>
    <w:rPr>
      <w:rFonts w:eastAsia="Batang" w:cs="Times New Roman"/>
      <w:sz w:val="28"/>
      <w:szCs w:val="28"/>
      <w:lang w:eastAsia="ko-KR"/>
    </w:rPr>
  </w:style>
  <w:style w:type="paragraph" w:styleId="1030" w:customStyle="1">
    <w:name w:val="ConsTitle"/>
    <w:qFormat/>
    <w:rPr>
      <w:rFonts w:ascii="Arial" w:hAnsi="Arial" w:eastAsia="Times New Roman" w:cs="Arial"/>
      <w:b/>
      <w:bCs/>
      <w:sz w:val="16"/>
      <w:szCs w:val="16"/>
    </w:rPr>
  </w:style>
  <w:style w:type="paragraph" w:styleId="1031" w:customStyle="1">
    <w:name w:val="Содержимое врезки"/>
    <w:basedOn w:val="755"/>
    <w:qFormat/>
  </w:style>
  <w:style w:type="paragraph" w:styleId="1032" w:customStyle="1">
    <w:name w:val="Текст в заданном формате"/>
    <w:basedOn w:val="755"/>
    <w:qFormat/>
    <w:rPr>
      <w:rFonts w:ascii="Liberation Mono" w:hAnsi="Liberation Mono" w:eastAsia="Liberation Mono" w:cs="Liberation Mono"/>
      <w:sz w:val="20"/>
      <w:szCs w:val="20"/>
    </w:rPr>
  </w:style>
  <w:style w:type="numbering" w:styleId="1033" w:customStyle="1">
    <w:name w:val="Стиль1"/>
    <w:uiPriority w:val="99"/>
    <w:qFormat/>
  </w:style>
  <w:style w:type="numbering" w:styleId="1034" w:customStyle="1">
    <w:name w:val="Стиль2"/>
    <w:uiPriority w:val="99"/>
    <w:qFormat/>
  </w:style>
  <w:style w:type="character" w:styleId="1035" w:customStyle="1">
    <w:name w:val="Основной текст2"/>
    <w:basedOn w:val="845"/>
    <w:qFormat/>
    <w:rPr>
      <w:rFonts w:ascii="Times New Roman" w:hAnsi="Times New Roman" w:eastAsia="Times New Roman" w:cs="Times New Roman"/>
      <w:i/>
      <w:iCs/>
      <w:color w:val="000000"/>
      <w:spacing w:val="0"/>
      <w:sz w:val="21"/>
      <w:szCs w:val="21"/>
      <w:u w:val="single"/>
      <w:shd w:val="clear" w:color="auto" w:fill="ffffff"/>
      <w:lang w:val="ru-RU" w:eastAsia="en-US"/>
    </w:rPr>
  </w:style>
  <w:style w:type="paragraph" w:styleId="1036" w:customStyle="1">
    <w:name w:val="Основной текст (2)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108" w:lineRule="exact"/>
      <w:shd w:val="clear" w:color="auto" w:fill="ffffff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9"/>
      <w:szCs w:val="9"/>
      <w:highlight w:val="none"/>
      <w:u w:val="none"/>
      <w:vertAlign w:val="baseline"/>
      <w:rtl w:val="0"/>
      <w:cs w:val="0"/>
      <w:lang w:val="ru-RU" w:eastAsia="zh-CN" w:bidi="ru-RU"/>
      <w14:ligatures w14:val="none"/>
    </w:rPr>
  </w:style>
  <w:style w:type="character" w:styleId="1037" w:customStyle="1">
    <w:name w:val="Основной текст (2) + 12 pt"/>
    <w:qFormat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sz w:val="24"/>
      <w:szCs w:val="24"/>
      <w:lang w:val="ru-RU" w:bidi="ru-RU"/>
    </w:rPr>
  </w:style>
  <w:style w:type="character" w:styleId="1038" w:customStyle="1">
    <w:name w:val="Основной текст (2) + 10;5 pt;Курсив"/>
    <w:qFormat/>
    <w:rPr>
      <w:rFonts w:ascii="Times New Roman" w:hAnsi="Times New Roman" w:eastAsia="Times New Roman" w:cs="Times New Roman"/>
      <w:b w:val="0"/>
      <w:bCs w:val="0"/>
      <w:i/>
      <w:iCs/>
      <w:caps w:val="0"/>
      <w:smallCaps w:val="0"/>
      <w:strike w:val="0"/>
      <w:sz w:val="21"/>
      <w:szCs w:val="21"/>
      <w:lang w:val="ru-RU" w:bidi="ru-RU"/>
    </w:rPr>
  </w:style>
  <w:style w:type="character" w:styleId="1039" w:customStyle="1">
    <w:name w:val="Основной текст (2) + 10;5 pt;Курсив;Интервал 1 pt"/>
    <w:qFormat/>
    <w:rPr>
      <w:rFonts w:ascii="Times New Roman" w:hAnsi="Times New Roman" w:eastAsia="Times New Roman" w:cs="Times New Roman"/>
      <w:b w:val="0"/>
      <w:bCs w:val="0"/>
      <w:i/>
      <w:iCs/>
      <w:caps w:val="0"/>
      <w:smallCaps w:val="0"/>
      <w:strike w:val="0"/>
      <w:spacing w:val="20"/>
      <w:sz w:val="21"/>
      <w:szCs w:val="21"/>
      <w:lang w:val="en-US" w:bidi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login.consultant.ru/link/?req=doc&amp;base=LAW&amp;n=494318&amp;dst=100007" TargetMode="External"/><Relationship Id="rId14" Type="http://schemas.openxmlformats.org/officeDocument/2006/relationships/hyperlink" Target="https://login.consultant.ru/link/?req=doc&amp;base=LAW&amp;n=494318&amp;dst=10000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46BA6-8C9E-4269-90CF-AFC3193D5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kilina_ns@DGK.RU</cp:lastModifiedBy>
  <cp:revision>66</cp:revision>
  <dcterms:created xsi:type="dcterms:W3CDTF">2024-03-12T00:51:00Z</dcterms:created>
  <dcterms:modified xsi:type="dcterms:W3CDTF">2026-06-24T02:52:03Z</dcterms:modified>
</cp:coreProperties>
</file>